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5B7" w:rsidRDefault="00C545B7">
      <w:pPr>
        <w:spacing w:line="390" w:lineRule="exact"/>
        <w:rPr>
          <w:rFonts w:ascii="方正小标宋_GBK" w:eastAsia="方正小标宋_GBK" w:hint="eastAsia"/>
          <w:b/>
          <w:bCs/>
        </w:rPr>
      </w:pPr>
    </w:p>
    <w:p w:rsidR="00C545B7" w:rsidRDefault="00C545B7">
      <w:pPr>
        <w:spacing w:line="380" w:lineRule="exact"/>
        <w:rPr>
          <w:rFonts w:ascii="方正小标宋_GBK" w:eastAsia="方正小标宋_GBK" w:hint="eastAsia"/>
          <w:spacing w:val="-14"/>
          <w:w w:val="42"/>
        </w:rPr>
      </w:pPr>
    </w:p>
    <w:p w:rsidR="00C545B7" w:rsidRDefault="00C545B7">
      <w:pPr>
        <w:spacing w:line="390" w:lineRule="exact"/>
        <w:rPr>
          <w:rFonts w:ascii="方正小标宋_GBK" w:eastAsia="方正小标宋_GBK" w:hint="eastAsia"/>
          <w:spacing w:val="-14"/>
          <w:w w:val="42"/>
        </w:rPr>
      </w:pPr>
      <w:r>
        <w:rPr>
          <w:rFonts w:ascii="方正小标宋_GBK" w:eastAsia="方正小标宋_GBK"/>
          <w:b/>
          <w:bCs/>
          <w:sz w:val="20"/>
          <w:lang w:val="en-US" w:eastAsia="zh-CN"/>
        </w:rPr>
        <w:pict>
          <v:line id="直线 2" o:spid="_x0000_s1026" style="position:absolute;left:0;text-align:left;z-index:251657216;mso-position-horizontal:center" from="0,14.65pt" to=".05pt,14.65pt" wrapcoords="0 0 0 0 0 0 0 0 0 0" strokeweight="2pt">
            <w10:wrap type="tight"/>
          </v:line>
        </w:pict>
      </w:r>
    </w:p>
    <w:p w:rsidR="00C545B7" w:rsidRDefault="00C545B7">
      <w:pPr>
        <w:tabs>
          <w:tab w:val="left" w:pos="5025"/>
        </w:tabs>
        <w:spacing w:line="380" w:lineRule="exact"/>
        <w:jc w:val="left"/>
        <w:rPr>
          <w:rFonts w:ascii="方正小标宋_GBK" w:eastAsia="方正小标宋_GBK" w:hint="eastAsia"/>
          <w:spacing w:val="-14"/>
          <w:w w:val="42"/>
        </w:rPr>
      </w:pPr>
    </w:p>
    <w:p w:rsidR="00C545B7" w:rsidRDefault="00C545B7">
      <w:pPr>
        <w:spacing w:line="400" w:lineRule="exact"/>
        <w:jc w:val="center"/>
        <w:rPr>
          <w:rFonts w:ascii="方正小标宋_GBK" w:eastAsia="方正小标宋_GBK" w:hint="eastAsia"/>
          <w:spacing w:val="-14"/>
          <w:w w:val="42"/>
        </w:rPr>
      </w:pPr>
    </w:p>
    <w:p w:rsidR="00C545B7" w:rsidRDefault="00C545B7">
      <w:pPr>
        <w:tabs>
          <w:tab w:val="left" w:pos="8690"/>
        </w:tabs>
        <w:spacing w:line="1180" w:lineRule="exact"/>
        <w:jc w:val="center"/>
        <w:rPr>
          <w:rFonts w:ascii="方正小标宋_GBK" w:eastAsia="方正小标宋_GBK" w:hint="eastAsia"/>
          <w:b/>
          <w:bCs/>
          <w:snapToGrid w:val="0"/>
          <w:color w:val="FF0000"/>
          <w:spacing w:val="-20"/>
          <w:w w:val="46"/>
          <w:kern w:val="0"/>
          <w:sz w:val="108"/>
          <w:szCs w:val="108"/>
        </w:rPr>
      </w:pPr>
      <w:r>
        <w:rPr>
          <w:rFonts w:ascii="方正小标宋_GBK" w:eastAsia="方正小标宋_GBK" w:hint="eastAsia"/>
          <w:b/>
          <w:bCs/>
          <w:snapToGrid w:val="0"/>
          <w:color w:val="FF0000"/>
          <w:spacing w:val="-20"/>
          <w:w w:val="46"/>
          <w:kern w:val="0"/>
          <w:sz w:val="108"/>
          <w:szCs w:val="108"/>
        </w:rPr>
        <w:t>重庆市涪陵区人民政府崇义街道办事处文件</w:t>
      </w:r>
    </w:p>
    <w:p w:rsidR="00C545B7" w:rsidRDefault="00C545B7">
      <w:pPr>
        <w:spacing w:line="480" w:lineRule="exact"/>
        <w:jc w:val="center"/>
        <w:rPr>
          <w:rFonts w:ascii="仿宋_GB2312" w:hint="eastAsia"/>
        </w:rPr>
      </w:pPr>
    </w:p>
    <w:p w:rsidR="00C545B7" w:rsidRDefault="00C545B7">
      <w:pPr>
        <w:spacing w:line="460" w:lineRule="exact"/>
        <w:jc w:val="center"/>
        <w:rPr>
          <w:rFonts w:ascii="仿宋_GB2312" w:hint="eastAsia"/>
        </w:rPr>
      </w:pPr>
    </w:p>
    <w:p w:rsidR="00C545B7" w:rsidRDefault="00C545B7">
      <w:pPr>
        <w:tabs>
          <w:tab w:val="left" w:pos="316"/>
        </w:tabs>
        <w:ind w:firstLineChars="50" w:firstLine="160"/>
        <w:jc w:val="center"/>
        <w:rPr>
          <w:rFonts w:ascii="方正仿宋_GBK" w:hint="eastAsia"/>
        </w:rPr>
      </w:pPr>
      <w:r>
        <w:rPr>
          <w:rFonts w:ascii="方正仿宋_GBK" w:hint="eastAsia"/>
        </w:rPr>
        <w:t>涪陵崇义办发〔2025〕33号</w:t>
      </w:r>
    </w:p>
    <w:p w:rsidR="00C545B7" w:rsidRDefault="00C545B7">
      <w:pPr>
        <w:jc w:val="center"/>
        <w:rPr>
          <w:rFonts w:hint="eastAsia"/>
        </w:rPr>
      </w:pPr>
      <w:r>
        <w:rPr>
          <w:rFonts w:ascii="黑体" w:eastAsia="黑体"/>
          <w:sz w:val="20"/>
          <w:lang w:val="en-US" w:eastAsia="zh-CN"/>
        </w:rPr>
        <w:pict>
          <v:line id="直线 3" o:spid="_x0000_s1027" style="position:absolute;left:0;text-align:left;z-index:251658240" from="0,6.6pt" to="442.2pt,6.6pt" strokecolor="red" strokeweight="2.25pt">
            <w10:wrap type="square"/>
          </v:line>
        </w:pict>
      </w:r>
    </w:p>
    <w:p w:rsidR="00C545B7" w:rsidRDefault="00C545B7">
      <w:pPr>
        <w:tabs>
          <w:tab w:val="left" w:pos="2592"/>
          <w:tab w:val="left" w:pos="2952"/>
        </w:tabs>
        <w:spacing w:line="520" w:lineRule="exact"/>
        <w:jc w:val="center"/>
        <w:rPr>
          <w:rFonts w:ascii="方正小标宋_GBK" w:eastAsia="方正小标宋_GBK" w:hint="eastAsia"/>
          <w:sz w:val="44"/>
          <w:szCs w:val="44"/>
        </w:rPr>
      </w:pPr>
      <w:r>
        <w:rPr>
          <w:rFonts w:ascii="方正小标宋_GBK" w:eastAsia="方正小标宋_GBK" w:hint="eastAsia"/>
          <w:sz w:val="44"/>
          <w:szCs w:val="44"/>
        </w:rPr>
        <w:t>重庆市涪陵区人民政府崇义街道办事处</w:t>
      </w:r>
    </w:p>
    <w:p w:rsidR="00C545B7" w:rsidRDefault="00C545B7">
      <w:pPr>
        <w:spacing w:line="540" w:lineRule="exact"/>
        <w:jc w:val="center"/>
        <w:rPr>
          <w:rFonts w:ascii="方正小标宋_GBK" w:eastAsia="方正小标宋_GBK" w:hint="eastAsia"/>
          <w:sz w:val="44"/>
          <w:szCs w:val="44"/>
        </w:rPr>
      </w:pPr>
      <w:r>
        <w:rPr>
          <w:rFonts w:ascii="方正小标宋_GBK" w:eastAsia="方正小标宋_GBK" w:hint="eastAsia"/>
          <w:spacing w:val="-10"/>
          <w:sz w:val="44"/>
          <w:szCs w:val="44"/>
        </w:rPr>
        <w:t>关于</w:t>
      </w:r>
      <w:r>
        <w:rPr>
          <w:rFonts w:ascii="方正小标宋_GBK" w:eastAsia="方正小标宋_GBK" w:hint="eastAsia"/>
          <w:sz w:val="44"/>
          <w:szCs w:val="44"/>
        </w:rPr>
        <w:t>调整崇义街道三峡水库175米蓄水退水</w:t>
      </w:r>
    </w:p>
    <w:p w:rsidR="00C545B7" w:rsidRDefault="00C545B7">
      <w:pPr>
        <w:spacing w:line="540" w:lineRule="exact"/>
        <w:jc w:val="center"/>
        <w:rPr>
          <w:rFonts w:ascii="方正小标宋_GBK" w:eastAsia="方正小标宋_GBK"/>
          <w:sz w:val="44"/>
          <w:szCs w:val="44"/>
        </w:rPr>
      </w:pPr>
      <w:r>
        <w:rPr>
          <w:rFonts w:ascii="方正小标宋_GBK" w:eastAsia="方正小标宋_GBK" w:hint="eastAsia"/>
          <w:sz w:val="44"/>
          <w:szCs w:val="44"/>
        </w:rPr>
        <w:t>安全监测与防范应急工作预案的通知</w:t>
      </w:r>
    </w:p>
    <w:p w:rsidR="00C545B7" w:rsidRDefault="00C545B7">
      <w:pPr>
        <w:spacing w:line="540" w:lineRule="exact"/>
        <w:ind w:firstLineChars="200" w:firstLine="880"/>
        <w:jc w:val="center"/>
        <w:rPr>
          <w:rFonts w:ascii="方正小标宋_GBK" w:eastAsia="方正小标宋_GBK"/>
          <w:sz w:val="44"/>
          <w:szCs w:val="44"/>
        </w:rPr>
      </w:pPr>
    </w:p>
    <w:p w:rsidR="00C545B7" w:rsidRDefault="00C545B7">
      <w:pPr>
        <w:spacing w:line="540" w:lineRule="exact"/>
        <w:rPr>
          <w:rFonts w:ascii="方正仿宋_GBK" w:hAnsi="仿宋" w:hint="eastAsia"/>
          <w:szCs w:val="32"/>
        </w:rPr>
      </w:pPr>
      <w:r>
        <w:rPr>
          <w:rFonts w:ascii="方正仿宋_GBK" w:hAnsi="仿宋" w:hint="eastAsia"/>
          <w:szCs w:val="32"/>
        </w:rPr>
        <w:t>各相关社区，有关岗位：</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现将调整后的《崇义街道三峡水库175米蓄水退水安全监测与防范应急工作预案》印发给你们，请遵照执行。</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 xml:space="preserve">          </w:t>
      </w:r>
    </w:p>
    <w:p w:rsidR="00C545B7" w:rsidRDefault="00C545B7">
      <w:pPr>
        <w:spacing w:line="540" w:lineRule="exact"/>
        <w:ind w:firstLineChars="200" w:firstLine="640"/>
        <w:rPr>
          <w:rFonts w:ascii="方正仿宋_GBK" w:hAnsi="仿宋" w:hint="eastAsia"/>
          <w:szCs w:val="32"/>
        </w:rPr>
      </w:pPr>
    </w:p>
    <w:p w:rsidR="00C545B7" w:rsidRDefault="00C545B7">
      <w:pPr>
        <w:spacing w:line="540" w:lineRule="exact"/>
        <w:ind w:firstLineChars="200" w:firstLine="640"/>
        <w:rPr>
          <w:rFonts w:ascii="方正仿宋_GBK" w:hAnsi="仿宋" w:hint="eastAsia"/>
          <w:szCs w:val="32"/>
        </w:rPr>
      </w:pPr>
    </w:p>
    <w:p w:rsidR="00C545B7" w:rsidRDefault="00C545B7">
      <w:pPr>
        <w:spacing w:line="540" w:lineRule="exact"/>
        <w:ind w:firstLineChars="200" w:firstLine="640"/>
        <w:rPr>
          <w:rFonts w:ascii="方正仿宋_GBK" w:hAnsi="方正仿宋_GBK" w:cs="方正仿宋_GBK" w:hint="eastAsia"/>
          <w:szCs w:val="32"/>
        </w:rPr>
      </w:pPr>
      <w:r>
        <w:rPr>
          <w:rFonts w:ascii="方正仿宋_GBK" w:hAnsi="仿宋" w:hint="eastAsia"/>
          <w:szCs w:val="32"/>
        </w:rPr>
        <w:t xml:space="preserve">　　　　　　     </w:t>
      </w:r>
      <w:r>
        <w:rPr>
          <w:rFonts w:ascii="方正仿宋_GBK" w:hAnsi="方正仿宋_GBK" w:cs="方正仿宋_GBK" w:hint="eastAsia"/>
          <w:szCs w:val="32"/>
        </w:rPr>
        <w:t>重庆市涪陵区人民政府崇义街道办事处</w:t>
      </w:r>
    </w:p>
    <w:p w:rsidR="00C545B7" w:rsidRDefault="00C545B7">
      <w:pPr>
        <w:spacing w:line="540" w:lineRule="exact"/>
        <w:ind w:firstLineChars="1500" w:firstLine="4800"/>
        <w:rPr>
          <w:rFonts w:ascii="方正仿宋_GBK" w:hAnsi="方正仿宋_GBK" w:cs="方正仿宋_GBK" w:hint="eastAsia"/>
          <w:szCs w:val="32"/>
        </w:rPr>
      </w:pPr>
      <w:r>
        <w:rPr>
          <w:rFonts w:ascii="方正仿宋_GBK" w:hAnsi="方正仿宋_GBK" w:cs="方正仿宋_GBK" w:hint="eastAsia"/>
          <w:szCs w:val="32"/>
        </w:rPr>
        <w:t>2025年5月14日</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（此件公开发布）</w:t>
      </w:r>
    </w:p>
    <w:p w:rsidR="00C545B7" w:rsidRDefault="00C545B7">
      <w:pPr>
        <w:spacing w:line="540" w:lineRule="exact"/>
        <w:jc w:val="center"/>
        <w:rPr>
          <w:rFonts w:ascii="方正小标宋_GBK" w:eastAsia="方正小标宋_GBK" w:hAnsi="宋体" w:hint="eastAsia"/>
          <w:sz w:val="44"/>
          <w:szCs w:val="44"/>
        </w:rPr>
      </w:pPr>
      <w:r>
        <w:rPr>
          <w:rFonts w:ascii="方正小标宋_GBK" w:eastAsia="方正小标宋_GBK" w:hAnsi="宋体" w:hint="eastAsia"/>
          <w:sz w:val="44"/>
          <w:szCs w:val="44"/>
        </w:rPr>
        <w:lastRenderedPageBreak/>
        <w:t>崇义街道三峡水库175米蓄水退水</w:t>
      </w:r>
    </w:p>
    <w:p w:rsidR="00C545B7" w:rsidRDefault="00C545B7">
      <w:pPr>
        <w:spacing w:line="540" w:lineRule="exact"/>
        <w:jc w:val="center"/>
        <w:rPr>
          <w:rFonts w:ascii="方正小标宋_GBK" w:eastAsia="方正小标宋_GBK" w:hAnsi="宋体" w:hint="eastAsia"/>
          <w:sz w:val="44"/>
          <w:szCs w:val="44"/>
        </w:rPr>
      </w:pPr>
      <w:r>
        <w:rPr>
          <w:rFonts w:ascii="方正小标宋_GBK" w:eastAsia="方正小标宋_GBK" w:hAnsi="宋体" w:hint="eastAsia"/>
          <w:sz w:val="44"/>
          <w:szCs w:val="44"/>
        </w:rPr>
        <w:t>安全监测与防范应急工作预案</w:t>
      </w:r>
    </w:p>
    <w:p w:rsidR="00C545B7" w:rsidRDefault="00C545B7">
      <w:pPr>
        <w:spacing w:line="540" w:lineRule="exact"/>
        <w:jc w:val="center"/>
        <w:rPr>
          <w:rFonts w:ascii="方正小标宋_GBK" w:eastAsia="方正小标宋_GBK" w:hAnsi="宋体" w:hint="eastAsia"/>
          <w:sz w:val="44"/>
          <w:szCs w:val="44"/>
        </w:rPr>
      </w:pPr>
    </w:p>
    <w:p w:rsidR="00C545B7" w:rsidRDefault="00C545B7">
      <w:pPr>
        <w:spacing w:line="540" w:lineRule="exact"/>
        <w:ind w:firstLineChars="200" w:firstLine="640"/>
        <w:rPr>
          <w:rFonts w:ascii="方正黑体_GBK" w:eastAsia="方正黑体_GBK" w:hint="eastAsia"/>
          <w:szCs w:val="32"/>
        </w:rPr>
      </w:pPr>
      <w:r>
        <w:rPr>
          <w:rFonts w:ascii="方正黑体_GBK" w:eastAsia="方正黑体_GBK" w:hint="eastAsia"/>
          <w:szCs w:val="32"/>
        </w:rPr>
        <w:t>一、总则</w:t>
      </w:r>
    </w:p>
    <w:p w:rsidR="00C545B7" w:rsidRDefault="00C545B7">
      <w:pPr>
        <w:spacing w:line="540" w:lineRule="exact"/>
        <w:ind w:firstLineChars="200" w:firstLine="640"/>
        <w:rPr>
          <w:rFonts w:ascii="方正楷体_GBK" w:eastAsia="方正楷体_GBK" w:hAnsi="宋体" w:hint="eastAsia"/>
          <w:szCs w:val="32"/>
        </w:rPr>
      </w:pPr>
      <w:r>
        <w:rPr>
          <w:rFonts w:ascii="方正楷体_GBK" w:eastAsia="方正楷体_GBK" w:hAnsi="宋体" w:hint="eastAsia"/>
          <w:szCs w:val="32"/>
        </w:rPr>
        <w:t>（一）编制目的</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为确保三峡工程涪陵库区三峡水库175米蓄水退水安全，促进蓄水退水期间地质灾害应急抢险工作高效、有序进行，最大程度地减轻地质灾害造成的损失，特别是减少人员伤亡，保障辖区人民群众的生命财产安全，尽快恢复灾区群众的生产、生活秩序，维护社会稳定，结合街道实际，编制本预案。</w:t>
      </w:r>
    </w:p>
    <w:p w:rsidR="00C545B7" w:rsidRDefault="00C545B7">
      <w:pPr>
        <w:spacing w:line="540" w:lineRule="exact"/>
        <w:ind w:firstLineChars="200" w:firstLine="640"/>
        <w:rPr>
          <w:rFonts w:ascii="方正楷体_GBK" w:eastAsia="方正楷体_GBK" w:hAnsi="宋体" w:hint="eastAsia"/>
          <w:szCs w:val="32"/>
        </w:rPr>
      </w:pPr>
      <w:r>
        <w:rPr>
          <w:rFonts w:ascii="方正仿宋_GBK" w:hint="eastAsia"/>
          <w:szCs w:val="32"/>
        </w:rPr>
        <w:t xml:space="preserve"> </w:t>
      </w:r>
      <w:r>
        <w:rPr>
          <w:rFonts w:ascii="方正楷体_GBK" w:eastAsia="方正楷体_GBK" w:hAnsi="宋体" w:hint="eastAsia"/>
          <w:szCs w:val="32"/>
        </w:rPr>
        <w:t>（二）编制依据</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根据国务院《地质灾害防治条例》《重庆市地质灾害防治条例》《重庆市自然灾害处置办法》《地质灾害防灾预案编制要求》，参照《重庆市涪陵区地质灾害防灾方案》《重庆市涪陵区突发性地质灾害应急处置预案》，重庆市、涪陵区关于175米蓄退水影响安全及消落区保护群测群防有关规定。</w:t>
      </w:r>
    </w:p>
    <w:p w:rsidR="00C545B7" w:rsidRDefault="00C545B7">
      <w:pPr>
        <w:spacing w:line="540" w:lineRule="exact"/>
        <w:ind w:firstLineChars="200" w:firstLine="640"/>
        <w:rPr>
          <w:rFonts w:ascii="方正楷体_GBK" w:eastAsia="方正楷体_GBK" w:hAnsi="宋体" w:hint="eastAsia"/>
          <w:szCs w:val="32"/>
        </w:rPr>
      </w:pPr>
      <w:r>
        <w:rPr>
          <w:rFonts w:ascii="方正楷体_GBK" w:eastAsia="方正楷体_GBK" w:hAnsi="宋体" w:hint="eastAsia"/>
          <w:szCs w:val="32"/>
        </w:rPr>
        <w:t>（三）适用范围</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本预案适用于三峡库区175米蓄水退水崇义辖区库岸安全监测与防范。包括蓄水退水可能诱发的崩滑体和库岸坍塌等地质灾害以及其它安全事故和突发性事件。</w:t>
      </w:r>
    </w:p>
    <w:p w:rsidR="00C545B7" w:rsidRDefault="00C545B7">
      <w:pPr>
        <w:spacing w:line="540" w:lineRule="exact"/>
        <w:ind w:firstLineChars="200" w:firstLine="640"/>
        <w:rPr>
          <w:rFonts w:ascii="方正楷体_GBK" w:eastAsia="方正楷体_GBK" w:hAnsi="宋体" w:hint="eastAsia"/>
          <w:szCs w:val="32"/>
        </w:rPr>
      </w:pPr>
      <w:r>
        <w:rPr>
          <w:rFonts w:ascii="方正楷体_GBK" w:eastAsia="方正楷体_GBK" w:hAnsi="宋体" w:hint="eastAsia"/>
          <w:szCs w:val="32"/>
        </w:rPr>
        <w:t>（四）工作原则</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1.以人为本，安全第一。把保障人民群众生命安全、身体健康、社会稳定作为首要任务，切实加强应急工作。</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lastRenderedPageBreak/>
        <w:t>2.统一领导，分级负责。由街道应急领导小组统一指挥，按照各自的职责和权限，负责有关应急处置工作。</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3.贯彻落实“安全第一、预防为主、综合治理”的方针，坚持应急与预防工作相结合，做好预防、预测、预警和预报工作。</w:t>
      </w:r>
    </w:p>
    <w:p w:rsidR="00C545B7" w:rsidRDefault="00C545B7">
      <w:pPr>
        <w:spacing w:line="540" w:lineRule="exact"/>
        <w:ind w:firstLineChars="200" w:firstLine="640"/>
        <w:rPr>
          <w:rFonts w:ascii="方正黑体_GBK" w:eastAsia="方正黑体_GBK" w:hint="eastAsia"/>
          <w:szCs w:val="32"/>
        </w:rPr>
      </w:pPr>
      <w:r>
        <w:rPr>
          <w:rFonts w:ascii="方正黑体_GBK" w:eastAsia="方正黑体_GBK" w:hint="eastAsia"/>
          <w:szCs w:val="32"/>
        </w:rPr>
        <w:t>二、组织机构及职责</w:t>
      </w:r>
    </w:p>
    <w:p w:rsidR="00C545B7" w:rsidRDefault="00C545B7">
      <w:pPr>
        <w:spacing w:line="540" w:lineRule="exact"/>
        <w:ind w:firstLineChars="200" w:firstLine="640"/>
        <w:rPr>
          <w:rFonts w:ascii="方正楷体_GBK" w:eastAsia="方正楷体_GBK" w:hAnsi="宋体" w:hint="eastAsia"/>
          <w:szCs w:val="32"/>
        </w:rPr>
      </w:pPr>
      <w:r>
        <w:rPr>
          <w:rFonts w:ascii="方正楷体_GBK" w:eastAsia="方正楷体_GBK" w:hAnsi="宋体" w:hint="eastAsia"/>
          <w:szCs w:val="32"/>
        </w:rPr>
        <w:t>（一）领导小组</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成立175米蓄水退水安全监测与防范应急领导小组，由办事处主要领导担任组长，分管领导担任副组长，综合事务岗、应急管理岗、规划建设岗、经济发展岗、财政管理岗、民生服务岗、社区事务岗、综合执法岗、产业发展岗、城市服务岗、</w:t>
      </w:r>
      <w:r w:rsidR="00CE75DA">
        <w:rPr>
          <w:rFonts w:ascii="方正仿宋_GBK" w:hAnsi="仿宋" w:hint="eastAsia"/>
          <w:szCs w:val="32"/>
        </w:rPr>
        <w:t>卫生健康岗、</w:t>
      </w:r>
      <w:r>
        <w:rPr>
          <w:rFonts w:ascii="方正仿宋_GBK" w:hAnsi="仿宋" w:hint="eastAsia"/>
          <w:szCs w:val="32"/>
        </w:rPr>
        <w:t>崇义规划和自然资源所、崇义学管中心、崇义派出所、崇义司法所、崇义勤务大队、崇义社区卫生服务中心等单位主要负责人为成员。成员单位主要负责人发生变更，其新任主要负责人自然接任本项职能。领导小组下设办公室在产业发展岗，负责执行领导小组关于防灾救灾工作的各项指令，联系和监督各成员单位在平时、临灾、灾后的各项工作。由分管领导兼任办公室主任，产业发展岗主任兼任办公室副主任。</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领导小组下设综合组、抢险组、医护防疫组、交通组、物资组、建设组、治安组、宣传组等8个工作组。各工作组的成员单位如下：</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1.综合组成员单位：综合事务岗、应急管理岗、平安建设岗、经济发展岗、民生服务岗、社区事务岗、产业发展岗、崇义规划和自然资源所。</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lastRenderedPageBreak/>
        <w:t>2.抢险组成员单位：综合事务岗、应急管理岗、平安建设岗、经济发展岗、规划建设岗、综合执法岗、产业发展岗、崇义规划和自然资源所、崇义学管中心。在必要时，请求武警驻涪部队给予支援，参与抢险工作，其领导加入指挥部参与抢险救灾指挥工作。</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3.医护防疫组成员单位：卫生健康岗、崇义社区卫生服务中心。</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4.交通组成员单位：崇义勤务大队、综合执法岗。</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5.物资组成员单位：综合事务岗、财政管理岗、民生服务岗和社区事务岗。</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6.建设组成员单位：规划建设岗、崇义规划和自然资源所。</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7.治安组成员单位：崇义派出所、崇义司法所。</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8.宣传组成员单位：宣传统战岗、应急管理岗、平安建设岗、产业发展岗、崇义规划和自然资源所。</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各工作组设组长、副组长各</w:t>
      </w:r>
      <w:r w:rsidR="00A91037">
        <w:rPr>
          <w:rFonts w:ascii="方正仿宋_GBK" w:hAnsi="仿宋" w:hint="eastAsia"/>
          <w:szCs w:val="32"/>
        </w:rPr>
        <w:t>1</w:t>
      </w:r>
      <w:r>
        <w:rPr>
          <w:rFonts w:ascii="方正仿宋_GBK" w:hAnsi="仿宋" w:hint="eastAsia"/>
          <w:szCs w:val="32"/>
        </w:rPr>
        <w:t>名，负责本工作组成员单位的组织联络工作。组长、副组长分别由各组成员单位中排在第一位和第二位的单位主要负责人担任。</w:t>
      </w:r>
    </w:p>
    <w:p w:rsidR="00C545B7" w:rsidRDefault="00C545B7">
      <w:pPr>
        <w:spacing w:line="540" w:lineRule="exact"/>
        <w:ind w:firstLineChars="200" w:firstLine="640"/>
        <w:rPr>
          <w:rFonts w:ascii="方正楷体_GBK" w:eastAsia="方正楷体_GBK" w:hAnsi="宋体" w:hint="eastAsia"/>
          <w:szCs w:val="32"/>
        </w:rPr>
      </w:pPr>
      <w:r>
        <w:rPr>
          <w:rFonts w:ascii="方正楷体_GBK" w:eastAsia="方正楷体_GBK" w:hAnsi="宋体" w:hint="eastAsia"/>
          <w:szCs w:val="32"/>
        </w:rPr>
        <w:t>（二）工作职责</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1.领导小组职责：执行街道党工委、办事处关于防灾救灾的各项指令；发布地质灾害预警预报信息；审定地质灾害应急处置工作实施方案，检查各级各单位的地质灾害防灾救灾措施落实情况；在临灾或灾后迅速指挥部署抢险救灾的应急处置工作，立即动员受灾群众有组织地进行避灾疏散，有效组织抢险救灾，最大</w:t>
      </w:r>
      <w:r>
        <w:rPr>
          <w:rFonts w:ascii="方正仿宋_GBK" w:hAnsi="仿宋" w:hint="eastAsia"/>
          <w:szCs w:val="32"/>
        </w:rPr>
        <w:lastRenderedPageBreak/>
        <w:t>限度减少灾害损失，使受灾群众尽快恢复生产、生活，并及时将灾情等信息报告区人民政府和区自然灾害防治指挥部。</w:t>
      </w:r>
    </w:p>
    <w:p w:rsidR="00C545B7" w:rsidRDefault="00C545B7">
      <w:pPr>
        <w:spacing w:line="540" w:lineRule="exact"/>
        <w:ind w:firstLineChars="200" w:firstLine="640"/>
        <w:rPr>
          <w:rFonts w:ascii="方正仿宋_GBK" w:hAnsi="宋体" w:hint="eastAsia"/>
          <w:szCs w:val="32"/>
        </w:rPr>
      </w:pPr>
      <w:r>
        <w:rPr>
          <w:rFonts w:ascii="方正仿宋_GBK" w:hAnsi="宋体" w:hint="eastAsia"/>
          <w:szCs w:val="32"/>
        </w:rPr>
        <w:t>2.各工作组职责</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1）综合组职责：协助办事处应急工作领导小组对《175米蓄水退水安全监测与防范应急工作预案》的实施情况进行监督、检查；迅速收集和上报灾情信息；组织安排监测预报工作，根据灾情监测情况组织专家或相关技术人员分析灾情发展变化趋势；及时开展地质灾害受灾损失的调查和快速评估；协同有关部门做好地质灾害防灾减灾宣传教育，及时平息和澄清有关地质灾害的谣言、误传；根据领导小组命令，启用临灾和灾后救援警报信号。</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2）抢险组职责：在地质灾害预警信号发出后，督促本工作组有关部门成立抢险救灾队伍，拟定抢险救灾方案，规划好人口稠密地带和建筑拥挤地带的群众疏散路线和疏散地点；及时动员受到地质灾害威胁的群众转移到安全地带，紧急情况下，可以强行组织疏散避灾。地质灾害发生后，迅速指挥各方抢险救灾队伍赶赴灾区，最大限度地保障灾区群众的生命财产安全，积极抢救国家重要物资、档案资料等，及时排除险情，最大限度减少损失。</w:t>
      </w:r>
    </w:p>
    <w:p w:rsidR="00C545B7" w:rsidRDefault="00C545B7">
      <w:pPr>
        <w:spacing w:line="540" w:lineRule="exact"/>
        <w:ind w:firstLineChars="200" w:firstLine="640"/>
        <w:rPr>
          <w:rFonts w:ascii="方正仿宋_GBK" w:hint="eastAsia"/>
          <w:szCs w:val="32"/>
        </w:rPr>
      </w:pPr>
      <w:r>
        <w:rPr>
          <w:rFonts w:ascii="方正仿宋_GBK" w:hAnsi="仿宋" w:hint="eastAsia"/>
          <w:szCs w:val="32"/>
        </w:rPr>
        <w:t>（3）医护防疫组职责：组织落实好医疗急救工作所需的药品、器械和医护人员。地质灾害发生后，立即带领医疗救护和防疫队伍，赶赴灾区负责伤病员的救护、治疗和转移，及时检查、监测灾区饮用水源和食品的卫生状况，采取有效措施，防止和控</w:t>
      </w:r>
      <w:r>
        <w:rPr>
          <w:rFonts w:ascii="方正仿宋_GBK" w:hAnsi="仿宋" w:hint="eastAsia"/>
          <w:szCs w:val="32"/>
        </w:rPr>
        <w:lastRenderedPageBreak/>
        <w:t>制传染病的流行和食源性疾病的爆发。</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4）交通组职责：在临灾或灾后应急期，强化交通管理，实行公路、水路等交通运输的统一调度；加强对灾区交通出入口的管制，保障灾民的及时疏散和指挥人员、救援人员和救灾物资的紧急通行。地质灾害发生后，要立即派出专业抢险先遣队，采取各种有效措施，尽快疏通和恢复前往灾区的被损毁或堵塞的水陆交通道路，保证抢险救灾通道畅通无阻。</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5）物资组职责：备足抢险救灾物资和器材，做好抢险救灾资金拨付和各种物资供应准备工作。地质灾害发生后，迅速组织设置避难场所和救灾物资供应点；动员各方面力量，积极争取区委、区政府的援助，并负责各项救灾经费和物资的接受登记、分配发放工作。要尽快提供灾区所需各种物资，确保受灾群众的生活必需品供给，并做好灾民的转移和安置工作。</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6）建设组职责：加强地质灾害危险性评估工作，合理规划应急情况下的人群疏散通道和紧急避险场所；地质灾害发生后，立即组织抢险救灾队伍，对灾区被破坏的建筑以及基础设施进行排危抢险，确定可利用的房屋供灾民和救灾人员使用；同相关部门拟定好灾区重建的规划方案。</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（7）治安组职责：强化灾区社会治安管理，负责本辖区重要财产设施、救灾人员、次生灾害源的安全保卫，维护和恢复社会秩序；组织群众防火防盗，抵制谣传，严惩</w:t>
      </w:r>
      <w:r w:rsidR="001C7AD5">
        <w:rPr>
          <w:rFonts w:ascii="方正仿宋_GBK" w:hAnsi="仿宋" w:hint="eastAsia"/>
          <w:szCs w:val="32"/>
        </w:rPr>
        <w:t>乘机</w:t>
      </w:r>
      <w:r>
        <w:rPr>
          <w:rFonts w:ascii="方正仿宋_GBK" w:hAnsi="仿宋" w:hint="eastAsia"/>
          <w:szCs w:val="32"/>
        </w:rPr>
        <w:t>打劫和扰乱社会治安的不法分子，确保灾区抢险救灾工作的顺利进行。</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（8）宣传组职责：加强对《地质灾害防治条例》等地质灾</w:t>
      </w:r>
      <w:r>
        <w:rPr>
          <w:rFonts w:ascii="方正仿宋_GBK" w:hAnsi="仿宋" w:hint="eastAsia"/>
          <w:szCs w:val="32"/>
        </w:rPr>
        <w:lastRenderedPageBreak/>
        <w:t>害有关法律法规的宣传，普及地质灾害防灾救灾科学知识，提高群众防灾减灾意识以及自救、互救能力；协同有关部门搞好防灾救灾业务骨干的培训；地质灾害发生后，根据地质灾害抢险救灾指挥部提供的信息，按照有关规定及时向社会发布灾情，宣传报道抗灾救灾和灾区重建家园的有关情况。</w:t>
      </w:r>
    </w:p>
    <w:p w:rsidR="00C545B7" w:rsidRDefault="00C545B7">
      <w:pPr>
        <w:spacing w:line="540" w:lineRule="exact"/>
        <w:ind w:firstLineChars="200" w:firstLine="640"/>
        <w:rPr>
          <w:rFonts w:ascii="方正黑体_GBK" w:eastAsia="方正黑体_GBK" w:hint="eastAsia"/>
          <w:szCs w:val="32"/>
        </w:rPr>
      </w:pPr>
      <w:r>
        <w:rPr>
          <w:rFonts w:ascii="方正黑体_GBK" w:eastAsia="方正黑体_GBK" w:hint="eastAsia"/>
          <w:szCs w:val="32"/>
        </w:rPr>
        <w:t>三、预警预防机制</w:t>
      </w:r>
    </w:p>
    <w:p w:rsidR="00C545B7" w:rsidRDefault="00C545B7">
      <w:pPr>
        <w:spacing w:line="540" w:lineRule="exact"/>
        <w:ind w:firstLineChars="200" w:firstLine="640"/>
        <w:rPr>
          <w:rFonts w:ascii="方正楷体_GBK" w:eastAsia="方正楷体_GBK" w:hAnsi="宋体" w:hint="eastAsia"/>
          <w:szCs w:val="32"/>
        </w:rPr>
      </w:pPr>
      <w:r>
        <w:rPr>
          <w:rFonts w:ascii="方正楷体_GBK" w:eastAsia="方正楷体_GBK" w:hAnsi="宋体" w:hint="eastAsia"/>
          <w:szCs w:val="32"/>
        </w:rPr>
        <w:t>（一）健全完善地质灾害预警预报体系建设</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街道产业发展岗和崇义规划和自然资源所要进一步健全175米蓄退水期间地质灾害预警预报体系，开展地质灾害调查，编制地质灾害防治规划，建设覆盖全街的地质灾害群测群防网络和专业监测网络。产业发展岗、应急管理岗、平安建设岗、规划建设岗、崇义规划和自然资源所等部门要密切配合，及时传送地质灾害险情灾情信息、气象信息和汛情信息。</w:t>
      </w:r>
    </w:p>
    <w:p w:rsidR="00C545B7" w:rsidRDefault="00C545B7">
      <w:pPr>
        <w:spacing w:line="540" w:lineRule="exact"/>
        <w:ind w:firstLineChars="200" w:firstLine="640"/>
        <w:rPr>
          <w:rFonts w:ascii="方正楷体_GBK" w:eastAsia="方正楷体_GBK" w:hAnsi="宋体" w:hint="eastAsia"/>
          <w:szCs w:val="32"/>
        </w:rPr>
      </w:pPr>
      <w:r>
        <w:rPr>
          <w:rFonts w:ascii="方正楷体_GBK" w:eastAsia="方正楷体_GBK" w:hAnsi="宋体" w:hint="eastAsia"/>
          <w:szCs w:val="32"/>
        </w:rPr>
        <w:t>（二）开展定期检查巡查</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街道产业发展岗要充分发挥地质灾害群测群防和专业监测网络的作用，主要对175米蓄退水期间安全隐患进行全面排查、定期巡查及蓄水退水后核查。对排查出的隐患针对性地布设监测点，落实监测责任人，建立群测群防监测系统。对已有变形迹象持续发展的地质灾害，巡查周期一般为每天三次以上，长江水位急剧涨落和强降雨期间应加大巡查的密度和频次。发现险情时，要及时向街道办事处报告，并组织群众转移避让或采取排险防治措施，在危险区域设置警示标志。</w:t>
      </w:r>
    </w:p>
    <w:p w:rsidR="00C545B7" w:rsidRDefault="00C545B7">
      <w:pPr>
        <w:spacing w:line="540" w:lineRule="exact"/>
        <w:ind w:firstLineChars="200" w:firstLine="640"/>
        <w:rPr>
          <w:rFonts w:ascii="方正楷体_GBK" w:eastAsia="方正楷体_GBK" w:hAnsi="宋体" w:hint="eastAsia"/>
          <w:szCs w:val="32"/>
        </w:rPr>
      </w:pPr>
      <w:r>
        <w:rPr>
          <w:rFonts w:ascii="方正楷体_GBK" w:eastAsia="方正楷体_GBK" w:hAnsi="宋体" w:hint="eastAsia"/>
          <w:szCs w:val="32"/>
        </w:rPr>
        <w:t>（三）严格执行值班制度</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lastRenderedPageBreak/>
        <w:t>各相关社区根据属地管理原则，对地质灾害危险区、高易发区实行24小时值班制度；汛期（4－10月）全面实行24小时值班制度。建立健全灾情速报制度，保障突发性地质灾害紧急信息报送渠道畅通。产业发展岗、崇义规划和自然资源所接到地质灾害险情报告后，要立即摸清情况，并按照有关规定向办事处和区规划和自然资源局报告；属于特大型、大型地质灾害的，还应按规定报告涪陵区人民政府。崇义办事处值班电话：023</w:t>
      </w:r>
      <w:r>
        <w:rPr>
          <w:rFonts w:ascii="方正仿宋_GBK" w:hAnsi="仿宋"/>
          <w:szCs w:val="32"/>
          <w:lang/>
        </w:rPr>
        <w:t>-</w:t>
      </w:r>
      <w:r>
        <w:rPr>
          <w:rFonts w:ascii="方正仿宋_GBK" w:hAnsi="仿宋" w:hint="eastAsia"/>
          <w:szCs w:val="32"/>
        </w:rPr>
        <w:t>72800222。</w:t>
      </w:r>
    </w:p>
    <w:p w:rsidR="00C545B7" w:rsidRDefault="00C545B7">
      <w:pPr>
        <w:spacing w:line="540" w:lineRule="exact"/>
        <w:ind w:firstLineChars="200" w:firstLine="640"/>
        <w:rPr>
          <w:rFonts w:ascii="方正黑体_GBK" w:eastAsia="方正黑体_GBK" w:hint="eastAsia"/>
          <w:szCs w:val="32"/>
        </w:rPr>
      </w:pPr>
      <w:r>
        <w:rPr>
          <w:rFonts w:ascii="方正黑体_GBK" w:eastAsia="方正黑体_GBK" w:hint="eastAsia"/>
          <w:szCs w:val="32"/>
        </w:rPr>
        <w:t>四、应急响应</w:t>
      </w:r>
    </w:p>
    <w:p w:rsidR="00C545B7" w:rsidRDefault="00C545B7">
      <w:pPr>
        <w:spacing w:line="540" w:lineRule="exact"/>
        <w:ind w:firstLineChars="200" w:firstLine="592"/>
        <w:rPr>
          <w:rFonts w:ascii="方正仿宋_GBK" w:hAnsi="仿宋" w:hint="eastAsia"/>
          <w:szCs w:val="32"/>
        </w:rPr>
      </w:pPr>
      <w:r>
        <w:rPr>
          <w:rFonts w:ascii="方正仿宋_GBK" w:hAnsi="仿宋" w:hint="eastAsia"/>
          <w:spacing w:val="-12"/>
          <w:szCs w:val="32"/>
        </w:rPr>
        <w:t xml:space="preserve"> （一）</w:t>
      </w:r>
      <w:r>
        <w:rPr>
          <w:rFonts w:ascii="方正仿宋_GBK" w:hAnsi="仿宋" w:hint="eastAsia"/>
          <w:szCs w:val="32"/>
        </w:rPr>
        <w:t>根据上级有关部门发布的暴雨警报或地质灾害气象预警预报，街道相关部门要按照本预案的规定，做好应急准备工作，最大限度防止和减少地质灾害危害。</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二）街道相关部门要根据本预案的职责分工要求，做好各项防灾准备和抢险救灾的准备工作，尽快组织抢险救灾所需的人员、物资、设备等，本着“招之能来，来之能战，战之能胜”的原则，一旦发现险情要能够立即赶赴现场开展抢险救灾工作。</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三）在接到突发性地质灾害险情预报后，街道办事处应立即将险情信息和防灾要求通知到本行政辖区的各居委及重要地质灾害隐患点的防灾责任人、监测人和危险区内的群众，做好启动本级突发性地质灾害应急处置预案和地灾隐患点应急处置预案的准备工作。地质灾害发生后，立即启动本级和地质灾害隐患点两级突发性地质灾害应急处置预案，及时组织群众转移疏散，采取有效措施抢险救灾，并在危险区域设置警示牌，同时立即将灾情上报办事处和上级有关部门。</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lastRenderedPageBreak/>
        <w:t>办事处和应急工作领导小组在接到突发性地质灾害灾情报告后，立即启动办事处应急处置预案，并成立地质灾害抢险救灾指挥部。指挥部成员必须根据指挥部发出的指令，迅速准时到达指定地点集结待命，根据指令赶赴灾区现场，调查灾情，组织力量抢险救灾。</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w:t>
      </w:r>
      <w:r w:rsidR="00A05DFB">
        <w:rPr>
          <w:rFonts w:ascii="方正仿宋_GBK" w:hAnsi="仿宋" w:hint="eastAsia"/>
          <w:szCs w:val="32"/>
        </w:rPr>
        <w:t>四</w:t>
      </w:r>
      <w:r>
        <w:rPr>
          <w:rFonts w:ascii="方正仿宋_GBK" w:hAnsi="仿宋" w:hint="eastAsia"/>
          <w:szCs w:val="32"/>
        </w:rPr>
        <w:t>）办事处地质灾害抢险救灾指挥部和各社区要安排落实人员实行昼夜24小时值班，收集灾情。地质灾害发生后，街道办事处必须按应急值班报告制度及时向</w:t>
      </w:r>
      <w:r w:rsidR="001C7AD5">
        <w:rPr>
          <w:rFonts w:ascii="方正仿宋_GBK" w:hAnsi="仿宋" w:hint="eastAsia"/>
          <w:szCs w:val="32"/>
        </w:rPr>
        <w:t>区委、区政府</w:t>
      </w:r>
      <w:r>
        <w:rPr>
          <w:rFonts w:ascii="方正仿宋_GBK" w:hAnsi="仿宋" w:hint="eastAsia"/>
          <w:szCs w:val="32"/>
        </w:rPr>
        <w:t>报告灾情。</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初报：报告地质灾害发生的地点、时间、伤亡和失踪人数、地质灾害类型和灾害体规模等情况。</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续报：初报后每1小时报告一次破坏范围、人员伤亡状况、社会影响程度（也可根据收集到的情况及时陆续上报、更正有关统计数据）。</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w:t>
      </w:r>
      <w:r w:rsidR="00A05DFB">
        <w:rPr>
          <w:rFonts w:ascii="方正仿宋_GBK" w:hAnsi="仿宋" w:hint="eastAsia"/>
          <w:szCs w:val="32"/>
        </w:rPr>
        <w:t>五</w:t>
      </w:r>
      <w:r>
        <w:rPr>
          <w:rFonts w:ascii="方正仿宋_GBK" w:hAnsi="仿宋" w:hint="eastAsia"/>
          <w:szCs w:val="32"/>
        </w:rPr>
        <w:t>）临灾和灾后应急期，在本行政区域内各部门各单位的车辆、物资、设备、人员和场地等应无条件地服从地质灾害抢险救灾指挥部调用，任何单位和个人不得阻拦。</w:t>
      </w:r>
    </w:p>
    <w:p w:rsidR="00C545B7" w:rsidRDefault="00C545B7">
      <w:pPr>
        <w:spacing w:line="540" w:lineRule="exact"/>
        <w:ind w:firstLineChars="200" w:firstLine="640"/>
        <w:rPr>
          <w:rFonts w:ascii="方正黑体_GBK" w:eastAsia="方正黑体_GBK" w:hAnsi="黑体" w:hint="eastAsia"/>
          <w:szCs w:val="32"/>
        </w:rPr>
      </w:pPr>
      <w:r>
        <w:rPr>
          <w:rFonts w:ascii="方正黑体_GBK" w:eastAsia="方正黑体_GBK" w:hAnsi="黑体" w:hint="eastAsia"/>
          <w:szCs w:val="32"/>
        </w:rPr>
        <w:t>五、应急处置</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地质灾害险情或灾情发生后，办事处和基层群众</w:t>
      </w:r>
      <w:r w:rsidR="005E7EAB">
        <w:rPr>
          <w:rFonts w:ascii="方正仿宋_GBK" w:hAnsi="仿宋" w:hint="eastAsia"/>
          <w:szCs w:val="32"/>
        </w:rPr>
        <w:t>性</w:t>
      </w:r>
      <w:r>
        <w:rPr>
          <w:rFonts w:ascii="方正仿宋_GBK" w:hAnsi="仿宋" w:hint="eastAsia"/>
          <w:szCs w:val="32"/>
        </w:rPr>
        <w:t>自治组织应及时动员和组织受到地质灾害威胁的群众转移到安全地带，并立即开展对受伤群众的救治工作；在可能的情况下，应当积极转移国家和群众的财产，尽量减少财产损失。情况紧急时，可强行组织群众避灾疏散。地质灾害发生后，街道办事处应根据预案迅速采取应急处置措施，在摸清大致情况后立即电话报告</w:t>
      </w:r>
      <w:r w:rsidR="001C7AD5">
        <w:rPr>
          <w:rFonts w:ascii="方正仿宋_GBK" w:hAnsi="仿宋" w:hint="eastAsia"/>
          <w:szCs w:val="32"/>
        </w:rPr>
        <w:t>区委、区</w:t>
      </w:r>
      <w:r w:rsidR="001C7AD5">
        <w:rPr>
          <w:rFonts w:ascii="方正仿宋_GBK" w:hAnsi="仿宋" w:hint="eastAsia"/>
          <w:szCs w:val="32"/>
        </w:rPr>
        <w:lastRenderedPageBreak/>
        <w:t>政府</w:t>
      </w:r>
      <w:r>
        <w:rPr>
          <w:rFonts w:ascii="方正仿宋_GBK" w:hAnsi="仿宋" w:hint="eastAsia"/>
          <w:szCs w:val="32"/>
        </w:rPr>
        <w:t>，并续报处置工作进展情况，直至处置工作结束。当遇险人员全部获救，事故现场得以控制，专家组鉴定，环境符合有关标准，导致次生、衍生事故隐患消除后，经现场应急指挥部确认和批准，现场应急处置工作结束，应急队伍撤离现场。</w:t>
      </w:r>
    </w:p>
    <w:p w:rsidR="00C545B7" w:rsidRDefault="00C545B7">
      <w:pPr>
        <w:spacing w:line="540" w:lineRule="exact"/>
        <w:ind w:firstLineChars="200" w:firstLine="640"/>
        <w:rPr>
          <w:rFonts w:ascii="方正黑体_GBK" w:eastAsia="方正黑体_GBK" w:hAnsi="黑体" w:hint="eastAsia"/>
          <w:szCs w:val="32"/>
        </w:rPr>
      </w:pPr>
      <w:r>
        <w:rPr>
          <w:rFonts w:ascii="方正黑体_GBK" w:eastAsia="方正黑体_GBK" w:hAnsi="黑体" w:hint="eastAsia"/>
          <w:szCs w:val="32"/>
        </w:rPr>
        <w:t>六、应急保障措施</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（一）街道办事处要根据近三年地质灾害防治工作所需经费情况，将本年度175米蓄水退水期间应急抢险救灾经费纳入财政预算，以确保应急工作的顺利进行。</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 xml:space="preserve">（二）健全救灾物资储备制度，保证抢险救灾物资的供应。街道相关部门要进一步健全用于灾民安置、医疗救护以及生活必需品等抢险救灾专用物资的储备制度，确保货源供应充足，并及时更新应急抢险救灾队伍的技术装备。 </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三）加强地质灾害防治群众队伍建设。产业发展岗、崇义规划和自然资源所要加强地质灾害群测群防网络建设，有计划地安排全街群测群防监测人员及广大基层干部对地质灾害监测、预警知识的培训，提高监测人员的业务技能，保障全街地质灾害监测预警工作的有效开展，最大限度地减少地质灾害发生。充分发挥群测群防网络的作用，加大地质灾害调查、监测和减灾工程等基础工作，建立健全灾情信息储备体系，提高灾情信息分析能力，满足175米蓄退水期间地质灾害防治工作的需要。要有针对性地组织开展应急抢险救灾演练，确保灾后应急处置工作顺利进行。</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（四）广泛宣传。宣传统战岗、崇义规划和自然资源所等部门要充分利用网络、广播、电视、报刊等媒体的作用，加大地质</w:t>
      </w:r>
      <w:r>
        <w:rPr>
          <w:rFonts w:ascii="方正仿宋_GBK" w:hAnsi="仿宋" w:hint="eastAsia"/>
          <w:szCs w:val="32"/>
        </w:rPr>
        <w:lastRenderedPageBreak/>
        <w:t>灾害防灾、减灾知识的宣传教育力度，使地质灾害防灾、减灾知识宣传工作横向到边、纵向到底，不留死角，特别注重加强对地质灾害高危区、易发区内群众的宣传，增强广大干部群众的防灾救灾意识和自救互救能力。各相关社区居委会要切实开展地质灾害防治知识及法律法规的宣传教育及培训工作，特别是在汛期，要充分利用广播电视及报刊等媒体搞好险情发布、监测预警工作。</w:t>
      </w:r>
    </w:p>
    <w:p w:rsidR="00C545B7" w:rsidRDefault="00C545B7">
      <w:pPr>
        <w:spacing w:line="540" w:lineRule="exact"/>
        <w:ind w:firstLineChars="200" w:firstLine="640"/>
        <w:rPr>
          <w:rFonts w:ascii="黑体" w:eastAsia="黑体" w:hAnsi="黑体" w:hint="eastAsia"/>
          <w:szCs w:val="32"/>
        </w:rPr>
      </w:pPr>
      <w:r>
        <w:rPr>
          <w:rFonts w:ascii="黑体" w:eastAsia="黑体" w:hAnsi="黑体" w:hint="eastAsia"/>
          <w:szCs w:val="32"/>
        </w:rPr>
        <w:t>七、附则</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（一）本预案中所涉及的175米蓄水退水期间隐患点根据监测人员日常监测情况适时进行调整。</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（二）本预案具体实施中的问题由产业发展岗、崇义规划和自然资源所负责解释。</w:t>
      </w:r>
    </w:p>
    <w:p w:rsidR="00C545B7" w:rsidRDefault="00C545B7">
      <w:pPr>
        <w:spacing w:line="540" w:lineRule="exact"/>
        <w:ind w:firstLineChars="200" w:firstLine="640"/>
        <w:rPr>
          <w:rFonts w:ascii="方正仿宋_GBK" w:hAnsi="仿宋" w:hint="eastAsia"/>
          <w:szCs w:val="32"/>
        </w:rPr>
      </w:pPr>
      <w:r>
        <w:rPr>
          <w:rFonts w:ascii="方正仿宋_GBK" w:hAnsi="仿宋" w:hint="eastAsia"/>
          <w:szCs w:val="32"/>
        </w:rPr>
        <w:t>（三）本预案从2025年1月1日起施行。</w:t>
      </w:r>
    </w:p>
    <w:p w:rsidR="00C545B7" w:rsidRDefault="00C545B7">
      <w:pPr>
        <w:spacing w:line="540" w:lineRule="exact"/>
        <w:ind w:firstLineChars="200" w:firstLine="640"/>
        <w:jc w:val="center"/>
        <w:rPr>
          <w:rFonts w:ascii="方正仿宋_GBK" w:hint="eastAsia"/>
          <w:szCs w:val="32"/>
        </w:rPr>
      </w:pPr>
    </w:p>
    <w:p w:rsidR="00C545B7" w:rsidRDefault="00C545B7">
      <w:pPr>
        <w:pStyle w:val="Default"/>
        <w:spacing w:line="540" w:lineRule="exact"/>
        <w:rPr>
          <w:rFonts w:ascii="方正仿宋_GBK" w:eastAsia="方正仿宋_GBK" w:hint="eastAsia"/>
          <w:color w:val="auto"/>
        </w:rPr>
      </w:pPr>
    </w:p>
    <w:p w:rsidR="00C545B7" w:rsidRDefault="00C545B7">
      <w:pPr>
        <w:pStyle w:val="Default"/>
        <w:spacing w:line="540" w:lineRule="exact"/>
        <w:rPr>
          <w:rFonts w:ascii="方正仿宋_GBK" w:eastAsia="方正仿宋_GBK" w:hint="eastAsia"/>
          <w:color w:val="auto"/>
        </w:rPr>
      </w:pPr>
    </w:p>
    <w:p w:rsidR="00C545B7" w:rsidRDefault="00C545B7" w:rsidP="00BA2328">
      <w:pPr>
        <w:spacing w:line="540" w:lineRule="exact"/>
        <w:ind w:firstLineChars="200" w:firstLine="640"/>
        <w:rPr>
          <w:rFonts w:ascii="方正仿宋_GBK" w:hAnsi="方正仿宋_GBK" w:cs="方正仿宋_GBK" w:hint="eastAsia"/>
          <w:szCs w:val="32"/>
        </w:rPr>
      </w:pPr>
      <w:r>
        <w:rPr>
          <w:rFonts w:ascii="方正仿宋_GBK" w:hAnsi="方正仿宋_GBK" w:cs="方正仿宋_GBK" w:hint="eastAsia"/>
          <w:szCs w:val="32"/>
        </w:rPr>
        <w:t xml:space="preserve">　　　　　　　</w:t>
      </w:r>
    </w:p>
    <w:p w:rsidR="00BA2328" w:rsidRDefault="00BA2328" w:rsidP="00BA2328">
      <w:pPr>
        <w:spacing w:line="540" w:lineRule="exact"/>
        <w:ind w:firstLineChars="200" w:firstLine="640"/>
        <w:rPr>
          <w:rFonts w:ascii="方正仿宋_GBK" w:hAnsi="方正仿宋_GBK" w:cs="方正仿宋_GBK" w:hint="eastAsia"/>
          <w:szCs w:val="32"/>
        </w:rPr>
      </w:pPr>
    </w:p>
    <w:p w:rsidR="00C545B7" w:rsidRDefault="00C545B7">
      <w:pPr>
        <w:pStyle w:val="HTML"/>
        <w:widowControl/>
        <w:spacing w:line="540" w:lineRule="exact"/>
        <w:jc w:val="both"/>
        <w:rPr>
          <w:rFonts w:ascii="方正黑体_GBK" w:eastAsia="方正黑体_GBK" w:hAnsi="方正黑体_GBK" w:cs="方正黑体_GBK"/>
          <w:sz w:val="32"/>
          <w:szCs w:val="32"/>
        </w:rPr>
      </w:pPr>
      <w:bookmarkStart w:id="0" w:name="_GoBack"/>
      <w:bookmarkEnd w:id="0"/>
    </w:p>
    <w:p w:rsidR="00C545B7" w:rsidRDefault="00C545B7">
      <w:pPr>
        <w:widowControl/>
        <w:tabs>
          <w:tab w:val="left" w:pos="2592"/>
          <w:tab w:val="left" w:pos="2952"/>
        </w:tabs>
        <w:snapToGrid w:val="0"/>
        <w:spacing w:line="560" w:lineRule="exact"/>
        <w:ind w:right="640"/>
        <w:jc w:val="center"/>
        <w:rPr>
          <w:rFonts w:ascii="方正仿宋_GBK" w:hAnsi="宋体" w:cs="宋体" w:hint="eastAsia"/>
          <w:kern w:val="0"/>
          <w:szCs w:val="32"/>
        </w:rPr>
      </w:pPr>
    </w:p>
    <w:p w:rsidR="00492916" w:rsidRDefault="00492916">
      <w:pPr>
        <w:widowControl/>
        <w:tabs>
          <w:tab w:val="left" w:pos="2592"/>
          <w:tab w:val="left" w:pos="2952"/>
        </w:tabs>
        <w:snapToGrid w:val="0"/>
        <w:spacing w:line="560" w:lineRule="exact"/>
        <w:ind w:right="640"/>
        <w:jc w:val="center"/>
        <w:rPr>
          <w:rFonts w:ascii="方正仿宋_GBK" w:hAnsi="宋体" w:cs="宋体" w:hint="eastAsia"/>
          <w:kern w:val="0"/>
          <w:szCs w:val="32"/>
        </w:rPr>
      </w:pPr>
    </w:p>
    <w:p w:rsidR="00492916" w:rsidRDefault="00492916">
      <w:pPr>
        <w:widowControl/>
        <w:tabs>
          <w:tab w:val="left" w:pos="2592"/>
          <w:tab w:val="left" w:pos="2952"/>
        </w:tabs>
        <w:snapToGrid w:val="0"/>
        <w:spacing w:line="560" w:lineRule="exact"/>
        <w:ind w:right="640"/>
        <w:jc w:val="center"/>
        <w:rPr>
          <w:rFonts w:ascii="方正仿宋_GBK" w:hAnsi="宋体" w:cs="宋体" w:hint="eastAsia"/>
          <w:kern w:val="0"/>
          <w:szCs w:val="32"/>
        </w:rPr>
      </w:pPr>
    </w:p>
    <w:p w:rsidR="00492916" w:rsidRDefault="00492916">
      <w:pPr>
        <w:widowControl/>
        <w:tabs>
          <w:tab w:val="left" w:pos="2592"/>
          <w:tab w:val="left" w:pos="2952"/>
        </w:tabs>
        <w:snapToGrid w:val="0"/>
        <w:spacing w:line="560" w:lineRule="exact"/>
        <w:ind w:right="640"/>
        <w:jc w:val="center"/>
        <w:rPr>
          <w:rFonts w:ascii="方正仿宋_GBK" w:hAnsi="宋体" w:cs="宋体" w:hint="eastAsia"/>
          <w:kern w:val="0"/>
          <w:szCs w:val="32"/>
        </w:rPr>
      </w:pPr>
    </w:p>
    <w:p w:rsidR="00492916" w:rsidRDefault="00492916">
      <w:pPr>
        <w:widowControl/>
        <w:tabs>
          <w:tab w:val="left" w:pos="2592"/>
          <w:tab w:val="left" w:pos="2952"/>
        </w:tabs>
        <w:snapToGrid w:val="0"/>
        <w:spacing w:line="560" w:lineRule="exact"/>
        <w:ind w:right="640"/>
        <w:jc w:val="center"/>
        <w:rPr>
          <w:rFonts w:ascii="方正仿宋_GBK" w:hAnsi="宋体" w:cs="宋体" w:hint="eastAsia"/>
          <w:kern w:val="0"/>
          <w:szCs w:val="32"/>
        </w:rPr>
      </w:pPr>
    </w:p>
    <w:p w:rsidR="00492916" w:rsidRDefault="00492916">
      <w:pPr>
        <w:widowControl/>
        <w:tabs>
          <w:tab w:val="left" w:pos="2592"/>
          <w:tab w:val="left" w:pos="2952"/>
        </w:tabs>
        <w:snapToGrid w:val="0"/>
        <w:spacing w:line="560" w:lineRule="exact"/>
        <w:ind w:right="640"/>
        <w:jc w:val="center"/>
        <w:rPr>
          <w:rFonts w:ascii="方正仿宋_GBK" w:hAnsi="宋体" w:cs="宋体" w:hint="eastAsia"/>
          <w:kern w:val="0"/>
          <w:szCs w:val="32"/>
        </w:rPr>
      </w:pPr>
    </w:p>
    <w:p w:rsidR="00492916" w:rsidRDefault="00492916">
      <w:pPr>
        <w:widowControl/>
        <w:tabs>
          <w:tab w:val="left" w:pos="2592"/>
          <w:tab w:val="left" w:pos="2952"/>
        </w:tabs>
        <w:snapToGrid w:val="0"/>
        <w:spacing w:line="560" w:lineRule="exact"/>
        <w:ind w:right="640"/>
        <w:jc w:val="center"/>
        <w:rPr>
          <w:rFonts w:ascii="方正仿宋_GBK" w:hAnsi="宋体" w:cs="宋体" w:hint="eastAsia"/>
          <w:kern w:val="0"/>
          <w:szCs w:val="32"/>
        </w:rPr>
      </w:pPr>
    </w:p>
    <w:p w:rsidR="00492916" w:rsidRDefault="00492916">
      <w:pPr>
        <w:widowControl/>
        <w:tabs>
          <w:tab w:val="left" w:pos="2592"/>
          <w:tab w:val="left" w:pos="2952"/>
        </w:tabs>
        <w:snapToGrid w:val="0"/>
        <w:spacing w:line="560" w:lineRule="exact"/>
        <w:ind w:right="640"/>
        <w:jc w:val="center"/>
        <w:rPr>
          <w:rFonts w:ascii="方正仿宋_GBK" w:hAnsi="宋体" w:cs="宋体" w:hint="eastAsia"/>
          <w:kern w:val="0"/>
          <w:szCs w:val="32"/>
        </w:rPr>
      </w:pPr>
    </w:p>
    <w:p w:rsidR="00492916" w:rsidRDefault="00492916">
      <w:pPr>
        <w:widowControl/>
        <w:tabs>
          <w:tab w:val="left" w:pos="2592"/>
          <w:tab w:val="left" w:pos="2952"/>
        </w:tabs>
        <w:snapToGrid w:val="0"/>
        <w:spacing w:line="560" w:lineRule="exact"/>
        <w:ind w:right="640"/>
        <w:jc w:val="center"/>
        <w:rPr>
          <w:rFonts w:ascii="方正仿宋_GBK" w:hAnsi="宋体" w:cs="宋体" w:hint="eastAsia"/>
          <w:kern w:val="0"/>
          <w:szCs w:val="32"/>
        </w:rPr>
      </w:pPr>
    </w:p>
    <w:p w:rsidR="00492916" w:rsidRDefault="00492916">
      <w:pPr>
        <w:widowControl/>
        <w:tabs>
          <w:tab w:val="left" w:pos="2592"/>
          <w:tab w:val="left" w:pos="2952"/>
        </w:tabs>
        <w:snapToGrid w:val="0"/>
        <w:spacing w:line="560" w:lineRule="exact"/>
        <w:ind w:right="640"/>
        <w:jc w:val="center"/>
        <w:rPr>
          <w:rFonts w:ascii="方正仿宋_GBK" w:hAnsi="宋体" w:cs="宋体" w:hint="eastAsia"/>
          <w:kern w:val="0"/>
          <w:szCs w:val="32"/>
        </w:rPr>
      </w:pPr>
    </w:p>
    <w:p w:rsidR="00492916" w:rsidRDefault="00492916">
      <w:pPr>
        <w:widowControl/>
        <w:tabs>
          <w:tab w:val="left" w:pos="2592"/>
          <w:tab w:val="left" w:pos="2952"/>
        </w:tabs>
        <w:snapToGrid w:val="0"/>
        <w:spacing w:line="560" w:lineRule="exact"/>
        <w:ind w:right="640"/>
        <w:jc w:val="center"/>
        <w:rPr>
          <w:rFonts w:ascii="方正仿宋_GBK" w:hAnsi="宋体" w:cs="宋体" w:hint="eastAsia"/>
          <w:kern w:val="0"/>
          <w:szCs w:val="32"/>
        </w:rPr>
      </w:pPr>
    </w:p>
    <w:p w:rsidR="00492916" w:rsidRDefault="00492916">
      <w:pPr>
        <w:widowControl/>
        <w:tabs>
          <w:tab w:val="left" w:pos="2592"/>
          <w:tab w:val="left" w:pos="2952"/>
        </w:tabs>
        <w:snapToGrid w:val="0"/>
        <w:spacing w:line="560" w:lineRule="exact"/>
        <w:ind w:right="640"/>
        <w:jc w:val="center"/>
        <w:rPr>
          <w:rFonts w:ascii="方正仿宋_GBK" w:hAnsi="宋体" w:cs="宋体" w:hint="eastAsia"/>
          <w:kern w:val="0"/>
          <w:szCs w:val="32"/>
        </w:rPr>
      </w:pPr>
    </w:p>
    <w:p w:rsidR="00492916" w:rsidRDefault="00492916">
      <w:pPr>
        <w:widowControl/>
        <w:tabs>
          <w:tab w:val="left" w:pos="2592"/>
          <w:tab w:val="left" w:pos="2952"/>
        </w:tabs>
        <w:snapToGrid w:val="0"/>
        <w:spacing w:line="560" w:lineRule="exact"/>
        <w:ind w:right="640"/>
        <w:jc w:val="center"/>
        <w:rPr>
          <w:rFonts w:ascii="方正仿宋_GBK" w:hAnsi="宋体" w:cs="宋体" w:hint="eastAsia"/>
          <w:kern w:val="0"/>
          <w:szCs w:val="32"/>
        </w:rPr>
      </w:pPr>
    </w:p>
    <w:p w:rsidR="00492916" w:rsidRDefault="00492916">
      <w:pPr>
        <w:widowControl/>
        <w:tabs>
          <w:tab w:val="left" w:pos="2592"/>
          <w:tab w:val="left" w:pos="2952"/>
        </w:tabs>
        <w:snapToGrid w:val="0"/>
        <w:spacing w:line="560" w:lineRule="exact"/>
        <w:ind w:right="640"/>
        <w:jc w:val="center"/>
        <w:rPr>
          <w:rFonts w:ascii="方正仿宋_GBK" w:hAnsi="宋体" w:cs="宋体" w:hint="eastAsia"/>
          <w:kern w:val="0"/>
          <w:szCs w:val="32"/>
        </w:rPr>
      </w:pPr>
    </w:p>
    <w:p w:rsidR="00492916" w:rsidRDefault="00492916">
      <w:pPr>
        <w:widowControl/>
        <w:tabs>
          <w:tab w:val="left" w:pos="2592"/>
          <w:tab w:val="left" w:pos="2952"/>
        </w:tabs>
        <w:snapToGrid w:val="0"/>
        <w:spacing w:line="560" w:lineRule="exact"/>
        <w:ind w:right="640"/>
        <w:jc w:val="center"/>
        <w:rPr>
          <w:rFonts w:ascii="方正仿宋_GBK" w:hAnsi="宋体" w:cs="宋体" w:hint="eastAsia"/>
          <w:kern w:val="0"/>
          <w:szCs w:val="32"/>
        </w:rPr>
      </w:pPr>
    </w:p>
    <w:p w:rsidR="00492916" w:rsidRDefault="00492916">
      <w:pPr>
        <w:widowControl/>
        <w:tabs>
          <w:tab w:val="left" w:pos="2592"/>
          <w:tab w:val="left" w:pos="2952"/>
        </w:tabs>
        <w:snapToGrid w:val="0"/>
        <w:spacing w:line="560" w:lineRule="exact"/>
        <w:ind w:right="640"/>
        <w:jc w:val="center"/>
        <w:rPr>
          <w:rFonts w:ascii="方正仿宋_GBK" w:hAnsi="宋体" w:cs="宋体" w:hint="eastAsia"/>
          <w:kern w:val="0"/>
          <w:szCs w:val="32"/>
        </w:rPr>
      </w:pPr>
    </w:p>
    <w:p w:rsidR="00492916" w:rsidRDefault="00492916">
      <w:pPr>
        <w:widowControl/>
        <w:tabs>
          <w:tab w:val="left" w:pos="2592"/>
          <w:tab w:val="left" w:pos="2952"/>
        </w:tabs>
        <w:snapToGrid w:val="0"/>
        <w:spacing w:line="560" w:lineRule="exact"/>
        <w:ind w:right="640"/>
        <w:jc w:val="center"/>
        <w:rPr>
          <w:rFonts w:ascii="方正仿宋_GBK" w:hAnsi="宋体" w:cs="宋体" w:hint="eastAsia"/>
          <w:kern w:val="0"/>
          <w:szCs w:val="32"/>
        </w:rPr>
      </w:pPr>
    </w:p>
    <w:p w:rsidR="00492916" w:rsidRDefault="00492916">
      <w:pPr>
        <w:widowControl/>
        <w:tabs>
          <w:tab w:val="left" w:pos="2592"/>
          <w:tab w:val="left" w:pos="2952"/>
        </w:tabs>
        <w:snapToGrid w:val="0"/>
        <w:spacing w:line="560" w:lineRule="exact"/>
        <w:ind w:right="640"/>
        <w:jc w:val="center"/>
        <w:rPr>
          <w:rFonts w:ascii="方正仿宋_GBK" w:hAnsi="宋体" w:cs="宋体" w:hint="eastAsia"/>
          <w:kern w:val="0"/>
          <w:szCs w:val="32"/>
        </w:rPr>
      </w:pPr>
    </w:p>
    <w:p w:rsidR="00492916" w:rsidRDefault="00492916">
      <w:pPr>
        <w:widowControl/>
        <w:tabs>
          <w:tab w:val="left" w:pos="2592"/>
          <w:tab w:val="left" w:pos="2952"/>
        </w:tabs>
        <w:snapToGrid w:val="0"/>
        <w:spacing w:line="560" w:lineRule="exact"/>
        <w:ind w:right="640"/>
        <w:jc w:val="center"/>
        <w:rPr>
          <w:rFonts w:ascii="方正仿宋_GBK" w:hAnsi="宋体" w:cs="宋体" w:hint="eastAsia"/>
          <w:kern w:val="0"/>
          <w:szCs w:val="32"/>
        </w:rPr>
      </w:pPr>
    </w:p>
    <w:p w:rsidR="00492916" w:rsidRDefault="00492916">
      <w:pPr>
        <w:widowControl/>
        <w:tabs>
          <w:tab w:val="left" w:pos="2592"/>
          <w:tab w:val="left" w:pos="2952"/>
        </w:tabs>
        <w:snapToGrid w:val="0"/>
        <w:spacing w:line="560" w:lineRule="exact"/>
        <w:ind w:right="640"/>
        <w:jc w:val="center"/>
        <w:rPr>
          <w:rFonts w:ascii="方正仿宋_GBK" w:hAnsi="宋体" w:cs="宋体" w:hint="eastAsia"/>
          <w:kern w:val="0"/>
          <w:szCs w:val="32"/>
        </w:rPr>
      </w:pPr>
    </w:p>
    <w:p w:rsidR="00C545B7" w:rsidRDefault="00C545B7">
      <w:pPr>
        <w:widowControl/>
        <w:tabs>
          <w:tab w:val="left" w:pos="2592"/>
          <w:tab w:val="left" w:pos="2952"/>
        </w:tabs>
        <w:snapToGrid w:val="0"/>
        <w:spacing w:line="560" w:lineRule="exact"/>
        <w:ind w:right="640"/>
        <w:jc w:val="center"/>
        <w:rPr>
          <w:rFonts w:ascii="方正仿宋_GBK" w:hAnsi="宋体" w:cs="宋体" w:hint="eastAsia"/>
          <w:kern w:val="0"/>
          <w:szCs w:val="32"/>
        </w:rPr>
      </w:pPr>
    </w:p>
    <w:p w:rsidR="00C545B7" w:rsidRDefault="00C545B7">
      <w:pPr>
        <w:widowControl/>
        <w:tabs>
          <w:tab w:val="left" w:pos="2592"/>
          <w:tab w:val="left" w:pos="2952"/>
        </w:tabs>
        <w:snapToGrid w:val="0"/>
        <w:spacing w:line="560" w:lineRule="exact"/>
        <w:ind w:right="640"/>
        <w:jc w:val="center"/>
        <w:rPr>
          <w:rFonts w:ascii="方正仿宋_GBK" w:hAnsi="宋体" w:cs="宋体" w:hint="eastAsia"/>
          <w:kern w:val="0"/>
          <w:szCs w:val="32"/>
        </w:rPr>
      </w:pPr>
    </w:p>
    <w:p w:rsidR="00C545B7" w:rsidRDefault="00C545B7">
      <w:pPr>
        <w:widowControl/>
        <w:tabs>
          <w:tab w:val="left" w:pos="2592"/>
          <w:tab w:val="left" w:pos="2952"/>
        </w:tabs>
        <w:snapToGrid w:val="0"/>
        <w:spacing w:line="560" w:lineRule="exact"/>
        <w:ind w:right="640"/>
        <w:jc w:val="center"/>
        <w:rPr>
          <w:rFonts w:ascii="方正仿宋_GBK" w:hAnsi="宋体" w:cs="宋体" w:hint="eastAsia"/>
          <w:kern w:val="0"/>
          <w:szCs w:val="32"/>
        </w:rPr>
      </w:pPr>
    </w:p>
    <w:p w:rsidR="00C545B7" w:rsidRDefault="00C545B7">
      <w:pPr>
        <w:widowControl/>
        <w:tabs>
          <w:tab w:val="left" w:pos="2592"/>
          <w:tab w:val="left" w:pos="2952"/>
        </w:tabs>
        <w:snapToGrid w:val="0"/>
        <w:spacing w:line="560" w:lineRule="exact"/>
        <w:ind w:right="640"/>
        <w:jc w:val="center"/>
        <w:rPr>
          <w:rFonts w:ascii="方正仿宋_GBK" w:hAnsi="宋体" w:cs="宋体" w:hint="eastAsia"/>
          <w:kern w:val="0"/>
          <w:szCs w:val="32"/>
        </w:rPr>
      </w:pPr>
    </w:p>
    <w:p w:rsidR="00C545B7" w:rsidRDefault="00C545B7">
      <w:pPr>
        <w:widowControl/>
        <w:tabs>
          <w:tab w:val="left" w:pos="2592"/>
          <w:tab w:val="left" w:pos="2952"/>
        </w:tabs>
        <w:snapToGrid w:val="0"/>
        <w:spacing w:line="560" w:lineRule="exact"/>
        <w:ind w:right="640"/>
        <w:jc w:val="center"/>
        <w:rPr>
          <w:rFonts w:ascii="方正仿宋_GBK" w:hAnsi="宋体" w:cs="宋体" w:hint="eastAsia"/>
          <w:kern w:val="0"/>
          <w:szCs w:val="32"/>
        </w:rPr>
      </w:pPr>
    </w:p>
    <w:p w:rsidR="00C545B7" w:rsidRDefault="00C545B7">
      <w:pPr>
        <w:pBdr>
          <w:top w:val="single" w:sz="4" w:space="1" w:color="auto"/>
          <w:bottom w:val="single" w:sz="4" w:space="1" w:color="auto"/>
        </w:pBdr>
        <w:tabs>
          <w:tab w:val="left" w:pos="2592"/>
          <w:tab w:val="left" w:pos="2952"/>
        </w:tabs>
        <w:spacing w:line="560" w:lineRule="exact"/>
        <w:ind w:firstLineChars="100" w:firstLine="280"/>
        <w:rPr>
          <w:rFonts w:ascii="方正仿宋_GBK" w:hAnsi="方正仿宋_GBK" w:cs="方正仿宋_GBK" w:hint="eastAsia"/>
          <w:szCs w:val="32"/>
        </w:rPr>
      </w:pPr>
      <w:r>
        <w:rPr>
          <w:rFonts w:ascii="方正仿宋_GBK" w:hAnsi="宋体" w:cs="宋体" w:hint="eastAsia"/>
          <w:kern w:val="0"/>
          <w:sz w:val="28"/>
          <w:szCs w:val="28"/>
        </w:rPr>
        <w:t>重庆市涪陵区人民政府崇义街道办事处</w:t>
      </w:r>
      <w:r>
        <w:rPr>
          <w:rFonts w:ascii="方正仿宋_GBK" w:hint="eastAsia"/>
          <w:sz w:val="28"/>
          <w:szCs w:val="28"/>
        </w:rPr>
        <w:t xml:space="preserve">　　　2025年5月14日印发</w:t>
      </w:r>
    </w:p>
    <w:sectPr w:rsidR="00C545B7">
      <w:footerReference w:type="even" r:id="rId7"/>
      <w:footerReference w:type="default" r:id="rId8"/>
      <w:pgSz w:w="11906" w:h="16838"/>
      <w:pgMar w:top="2098" w:right="1474" w:bottom="1985" w:left="1588" w:header="851" w:footer="992" w:gutter="0"/>
      <w:cols w:space="720"/>
      <w:docGrid w:type="lines" w:linePitch="5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20B" w:rsidRDefault="0062720B">
      <w:r>
        <w:separator/>
      </w:r>
    </w:p>
  </w:endnote>
  <w:endnote w:type="continuationSeparator" w:id="0">
    <w:p w:rsidR="0062720B" w:rsidRDefault="00627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charset w:val="00"/>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5B7" w:rsidRDefault="00C545B7">
    <w:pPr>
      <w:pStyle w:val="a7"/>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rsidR="00C545B7" w:rsidRDefault="00C545B7">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5B7" w:rsidRDefault="00C545B7">
    <w:pPr>
      <w:pStyle w:val="a7"/>
      <w:framePr w:wrap="around" w:vAnchor="text" w:hAnchor="margin" w:xAlign="outside" w:y="1"/>
      <w:rPr>
        <w:rStyle w:val="ac"/>
        <w:rFonts w:ascii="宋体" w:eastAsia="宋体" w:hAnsi="宋体" w:hint="eastAsia"/>
        <w:sz w:val="28"/>
        <w:szCs w:val="28"/>
      </w:rPr>
    </w:pPr>
    <w:r>
      <w:rPr>
        <w:rStyle w:val="ac"/>
        <w:rFonts w:ascii="宋体" w:eastAsia="宋体" w:hAnsi="宋体" w:hint="eastAsia"/>
        <w:sz w:val="28"/>
        <w:szCs w:val="28"/>
      </w:rPr>
      <w:t>–</w:t>
    </w:r>
    <w:r>
      <w:rPr>
        <w:rStyle w:val="ac"/>
        <w:rFonts w:ascii="宋体" w:eastAsia="宋体" w:hAnsi="宋体" w:hint="eastAsia"/>
        <w:sz w:val="28"/>
        <w:szCs w:val="28"/>
      </w:rPr>
      <w:fldChar w:fldCharType="begin"/>
    </w:r>
    <w:r>
      <w:rPr>
        <w:rStyle w:val="ac"/>
        <w:rFonts w:ascii="宋体" w:eastAsia="宋体" w:hAnsi="宋体" w:hint="eastAsia"/>
        <w:sz w:val="28"/>
        <w:szCs w:val="28"/>
      </w:rPr>
      <w:instrText xml:space="preserve">PAGE  </w:instrText>
    </w:r>
    <w:r>
      <w:rPr>
        <w:rStyle w:val="ac"/>
        <w:rFonts w:ascii="宋体" w:eastAsia="宋体" w:hAnsi="宋体" w:hint="eastAsia"/>
        <w:sz w:val="28"/>
        <w:szCs w:val="28"/>
      </w:rPr>
      <w:fldChar w:fldCharType="separate"/>
    </w:r>
    <w:r w:rsidR="009F1869">
      <w:rPr>
        <w:rStyle w:val="ac"/>
        <w:rFonts w:ascii="宋体" w:eastAsia="宋体" w:hAnsi="宋体"/>
        <w:noProof/>
        <w:sz w:val="28"/>
        <w:szCs w:val="28"/>
      </w:rPr>
      <w:t>12</w:t>
    </w:r>
    <w:r>
      <w:rPr>
        <w:rStyle w:val="ac"/>
        <w:rFonts w:ascii="宋体" w:eastAsia="宋体" w:hAnsi="宋体" w:hint="eastAsia"/>
        <w:sz w:val="28"/>
        <w:szCs w:val="28"/>
      </w:rPr>
      <w:fldChar w:fldCharType="end"/>
    </w:r>
    <w:r>
      <w:rPr>
        <w:rStyle w:val="ac"/>
        <w:rFonts w:ascii="宋体" w:eastAsia="宋体" w:hAnsi="宋体" w:hint="eastAsia"/>
        <w:sz w:val="28"/>
        <w:szCs w:val="28"/>
      </w:rPr>
      <w:t>–</w:t>
    </w:r>
  </w:p>
  <w:p w:rsidR="00C545B7" w:rsidRDefault="00C545B7">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20B" w:rsidRDefault="0062720B">
      <w:r>
        <w:separator/>
      </w:r>
    </w:p>
  </w:footnote>
  <w:footnote w:type="continuationSeparator" w:id="0">
    <w:p w:rsidR="0062720B" w:rsidRDefault="006272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A8877"/>
    <w:multiLevelType w:val="multilevel"/>
    <w:tmpl w:val="419A8877"/>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efaultTabStop w:val="420"/>
  <w:drawingGridHorizontalSpacing w:val="433"/>
  <w:drawingGridVerticalSpacing w:val="5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C4D10BF-8F47-48D2-9D95-E09636B9A575}" w:val="BhsQUGEZdW51fJcbXF2At09pDILNy6V4/nlMumiY7x3S=kjeTRq+gCPvKarH8wOzo"/>
    <w:docVar w:name="DocumentID" w:val="{5E1ED094-A22C-4833-B186-CB1B9B20B765}"/>
  </w:docVars>
  <w:rsids>
    <w:rsidRoot w:val="00B55E37"/>
    <w:rsid w:val="000222F4"/>
    <w:rsid w:val="000279FA"/>
    <w:rsid w:val="00027C93"/>
    <w:rsid w:val="0004156B"/>
    <w:rsid w:val="000423A5"/>
    <w:rsid w:val="00055CF6"/>
    <w:rsid w:val="00057DBD"/>
    <w:rsid w:val="00065158"/>
    <w:rsid w:val="00071FB8"/>
    <w:rsid w:val="00081E67"/>
    <w:rsid w:val="000828E3"/>
    <w:rsid w:val="00092797"/>
    <w:rsid w:val="000A0D68"/>
    <w:rsid w:val="000A2AE3"/>
    <w:rsid w:val="000B0DB1"/>
    <w:rsid w:val="000B3685"/>
    <w:rsid w:val="000C016C"/>
    <w:rsid w:val="000C2557"/>
    <w:rsid w:val="000D69DD"/>
    <w:rsid w:val="000F5809"/>
    <w:rsid w:val="00100904"/>
    <w:rsid w:val="00100B44"/>
    <w:rsid w:val="00101877"/>
    <w:rsid w:val="00101BB8"/>
    <w:rsid w:val="00117F8D"/>
    <w:rsid w:val="00121584"/>
    <w:rsid w:val="00122EFF"/>
    <w:rsid w:val="001420CD"/>
    <w:rsid w:val="00147B8C"/>
    <w:rsid w:val="001505BC"/>
    <w:rsid w:val="001543A5"/>
    <w:rsid w:val="001565C2"/>
    <w:rsid w:val="001665A4"/>
    <w:rsid w:val="00171593"/>
    <w:rsid w:val="001822D3"/>
    <w:rsid w:val="00186938"/>
    <w:rsid w:val="00187647"/>
    <w:rsid w:val="001914A6"/>
    <w:rsid w:val="001A238E"/>
    <w:rsid w:val="001A51F3"/>
    <w:rsid w:val="001A67C4"/>
    <w:rsid w:val="001B1787"/>
    <w:rsid w:val="001C4B26"/>
    <w:rsid w:val="001C7AD5"/>
    <w:rsid w:val="001D6714"/>
    <w:rsid w:val="001D6A0E"/>
    <w:rsid w:val="001E0A0F"/>
    <w:rsid w:val="001E567A"/>
    <w:rsid w:val="001F7380"/>
    <w:rsid w:val="00214867"/>
    <w:rsid w:val="00231E40"/>
    <w:rsid w:val="00233997"/>
    <w:rsid w:val="0024419B"/>
    <w:rsid w:val="00244FA4"/>
    <w:rsid w:val="00246CE1"/>
    <w:rsid w:val="002535D1"/>
    <w:rsid w:val="002677D1"/>
    <w:rsid w:val="002705F4"/>
    <w:rsid w:val="002817CB"/>
    <w:rsid w:val="0028252B"/>
    <w:rsid w:val="002828BF"/>
    <w:rsid w:val="0028492A"/>
    <w:rsid w:val="002936CA"/>
    <w:rsid w:val="00296B78"/>
    <w:rsid w:val="002A09F6"/>
    <w:rsid w:val="002A27DD"/>
    <w:rsid w:val="002A4BEB"/>
    <w:rsid w:val="002B23CD"/>
    <w:rsid w:val="002B280C"/>
    <w:rsid w:val="002B3B79"/>
    <w:rsid w:val="002C200A"/>
    <w:rsid w:val="002D4004"/>
    <w:rsid w:val="002E1A92"/>
    <w:rsid w:val="002E3B05"/>
    <w:rsid w:val="002F0BB0"/>
    <w:rsid w:val="002F258D"/>
    <w:rsid w:val="002F34D9"/>
    <w:rsid w:val="002F3923"/>
    <w:rsid w:val="002F5D5E"/>
    <w:rsid w:val="003007A2"/>
    <w:rsid w:val="003053CE"/>
    <w:rsid w:val="00327E89"/>
    <w:rsid w:val="00331C18"/>
    <w:rsid w:val="00335895"/>
    <w:rsid w:val="00341183"/>
    <w:rsid w:val="00345DC4"/>
    <w:rsid w:val="003510BF"/>
    <w:rsid w:val="00352107"/>
    <w:rsid w:val="0035279F"/>
    <w:rsid w:val="00355D68"/>
    <w:rsid w:val="00360085"/>
    <w:rsid w:val="00391038"/>
    <w:rsid w:val="00393152"/>
    <w:rsid w:val="00395702"/>
    <w:rsid w:val="003A16E3"/>
    <w:rsid w:val="003B3AC6"/>
    <w:rsid w:val="003B4443"/>
    <w:rsid w:val="003E0DB0"/>
    <w:rsid w:val="003F486C"/>
    <w:rsid w:val="003F7832"/>
    <w:rsid w:val="00404E8F"/>
    <w:rsid w:val="00415017"/>
    <w:rsid w:val="00433B3D"/>
    <w:rsid w:val="004412BA"/>
    <w:rsid w:val="00442F21"/>
    <w:rsid w:val="00476CBA"/>
    <w:rsid w:val="00481321"/>
    <w:rsid w:val="00484306"/>
    <w:rsid w:val="0048517F"/>
    <w:rsid w:val="00491D0E"/>
    <w:rsid w:val="00492916"/>
    <w:rsid w:val="004935CB"/>
    <w:rsid w:val="004A0AD4"/>
    <w:rsid w:val="004A18DD"/>
    <w:rsid w:val="004A5CEB"/>
    <w:rsid w:val="004B04C4"/>
    <w:rsid w:val="004C224B"/>
    <w:rsid w:val="004C4922"/>
    <w:rsid w:val="004D468C"/>
    <w:rsid w:val="0050159D"/>
    <w:rsid w:val="0050395D"/>
    <w:rsid w:val="00506CFC"/>
    <w:rsid w:val="0051289C"/>
    <w:rsid w:val="005162DE"/>
    <w:rsid w:val="00520AD4"/>
    <w:rsid w:val="00521BAC"/>
    <w:rsid w:val="00521F48"/>
    <w:rsid w:val="005350C1"/>
    <w:rsid w:val="005448FE"/>
    <w:rsid w:val="005518C8"/>
    <w:rsid w:val="00551A5C"/>
    <w:rsid w:val="00557894"/>
    <w:rsid w:val="005579F7"/>
    <w:rsid w:val="00564539"/>
    <w:rsid w:val="00566482"/>
    <w:rsid w:val="00566910"/>
    <w:rsid w:val="00586078"/>
    <w:rsid w:val="00592638"/>
    <w:rsid w:val="00593D00"/>
    <w:rsid w:val="00594E78"/>
    <w:rsid w:val="005A57F2"/>
    <w:rsid w:val="005C4A0D"/>
    <w:rsid w:val="005D0B20"/>
    <w:rsid w:val="005D7FE5"/>
    <w:rsid w:val="005E72C9"/>
    <w:rsid w:val="005E7EAB"/>
    <w:rsid w:val="005F72CC"/>
    <w:rsid w:val="006008B8"/>
    <w:rsid w:val="00600B9E"/>
    <w:rsid w:val="00617A85"/>
    <w:rsid w:val="0062720B"/>
    <w:rsid w:val="0063174D"/>
    <w:rsid w:val="0063204C"/>
    <w:rsid w:val="0064306D"/>
    <w:rsid w:val="00646583"/>
    <w:rsid w:val="006653A8"/>
    <w:rsid w:val="00671277"/>
    <w:rsid w:val="0067553A"/>
    <w:rsid w:val="00687A8D"/>
    <w:rsid w:val="006904C5"/>
    <w:rsid w:val="0069448D"/>
    <w:rsid w:val="00696847"/>
    <w:rsid w:val="0069779E"/>
    <w:rsid w:val="006A1D10"/>
    <w:rsid w:val="006A253A"/>
    <w:rsid w:val="006D3F50"/>
    <w:rsid w:val="006D4EBC"/>
    <w:rsid w:val="0070223A"/>
    <w:rsid w:val="00704AF9"/>
    <w:rsid w:val="0071162B"/>
    <w:rsid w:val="00711E3C"/>
    <w:rsid w:val="00712DE1"/>
    <w:rsid w:val="00737742"/>
    <w:rsid w:val="0074020B"/>
    <w:rsid w:val="007421E7"/>
    <w:rsid w:val="0075609C"/>
    <w:rsid w:val="00765E89"/>
    <w:rsid w:val="00767C1A"/>
    <w:rsid w:val="00777B36"/>
    <w:rsid w:val="00785404"/>
    <w:rsid w:val="00793892"/>
    <w:rsid w:val="00793D14"/>
    <w:rsid w:val="007B77A3"/>
    <w:rsid w:val="007C1AFD"/>
    <w:rsid w:val="007C2BE0"/>
    <w:rsid w:val="007C436B"/>
    <w:rsid w:val="007C4E51"/>
    <w:rsid w:val="007E7DC9"/>
    <w:rsid w:val="007F1C35"/>
    <w:rsid w:val="007F25AE"/>
    <w:rsid w:val="007F2FEB"/>
    <w:rsid w:val="007F5B3C"/>
    <w:rsid w:val="0080338B"/>
    <w:rsid w:val="00813237"/>
    <w:rsid w:val="008155AB"/>
    <w:rsid w:val="0081755A"/>
    <w:rsid w:val="0082391F"/>
    <w:rsid w:val="00826DA6"/>
    <w:rsid w:val="00831468"/>
    <w:rsid w:val="00837AF9"/>
    <w:rsid w:val="00846625"/>
    <w:rsid w:val="00856B50"/>
    <w:rsid w:val="0086214B"/>
    <w:rsid w:val="008643B0"/>
    <w:rsid w:val="00867371"/>
    <w:rsid w:val="00870220"/>
    <w:rsid w:val="00880469"/>
    <w:rsid w:val="00886A67"/>
    <w:rsid w:val="00893F8B"/>
    <w:rsid w:val="008B50E5"/>
    <w:rsid w:val="008B52D2"/>
    <w:rsid w:val="008C3D79"/>
    <w:rsid w:val="008D5FC2"/>
    <w:rsid w:val="008E7B00"/>
    <w:rsid w:val="008F28CC"/>
    <w:rsid w:val="00904585"/>
    <w:rsid w:val="00905FE5"/>
    <w:rsid w:val="00914692"/>
    <w:rsid w:val="00914D12"/>
    <w:rsid w:val="00944420"/>
    <w:rsid w:val="00953276"/>
    <w:rsid w:val="00956774"/>
    <w:rsid w:val="00966C09"/>
    <w:rsid w:val="009710FE"/>
    <w:rsid w:val="00972885"/>
    <w:rsid w:val="00981871"/>
    <w:rsid w:val="00992B0D"/>
    <w:rsid w:val="00993885"/>
    <w:rsid w:val="009A376A"/>
    <w:rsid w:val="009A6ED5"/>
    <w:rsid w:val="009B2DD1"/>
    <w:rsid w:val="009C780D"/>
    <w:rsid w:val="009D0EBF"/>
    <w:rsid w:val="009D3B1D"/>
    <w:rsid w:val="009E1386"/>
    <w:rsid w:val="009E2FD5"/>
    <w:rsid w:val="009F1869"/>
    <w:rsid w:val="009F2E90"/>
    <w:rsid w:val="009F4BCE"/>
    <w:rsid w:val="009F6B50"/>
    <w:rsid w:val="00A0445A"/>
    <w:rsid w:val="00A05DFB"/>
    <w:rsid w:val="00A06905"/>
    <w:rsid w:val="00A07FA4"/>
    <w:rsid w:val="00A146F9"/>
    <w:rsid w:val="00A3063F"/>
    <w:rsid w:val="00A339E6"/>
    <w:rsid w:val="00A35331"/>
    <w:rsid w:val="00A4518E"/>
    <w:rsid w:val="00A45C03"/>
    <w:rsid w:val="00A509EF"/>
    <w:rsid w:val="00A609A4"/>
    <w:rsid w:val="00A662F9"/>
    <w:rsid w:val="00A81855"/>
    <w:rsid w:val="00A843DA"/>
    <w:rsid w:val="00A86883"/>
    <w:rsid w:val="00A87527"/>
    <w:rsid w:val="00A91037"/>
    <w:rsid w:val="00A95C68"/>
    <w:rsid w:val="00AB1383"/>
    <w:rsid w:val="00AB4FA9"/>
    <w:rsid w:val="00AE608E"/>
    <w:rsid w:val="00AE776B"/>
    <w:rsid w:val="00AF18C9"/>
    <w:rsid w:val="00AF1D6E"/>
    <w:rsid w:val="00B15241"/>
    <w:rsid w:val="00B20B2B"/>
    <w:rsid w:val="00B3589C"/>
    <w:rsid w:val="00B37070"/>
    <w:rsid w:val="00B37DB4"/>
    <w:rsid w:val="00B426AD"/>
    <w:rsid w:val="00B471D3"/>
    <w:rsid w:val="00B50B47"/>
    <w:rsid w:val="00B521E0"/>
    <w:rsid w:val="00B52EE5"/>
    <w:rsid w:val="00B55E37"/>
    <w:rsid w:val="00B61A6C"/>
    <w:rsid w:val="00B67965"/>
    <w:rsid w:val="00B81B38"/>
    <w:rsid w:val="00B87208"/>
    <w:rsid w:val="00B87BD6"/>
    <w:rsid w:val="00B96D08"/>
    <w:rsid w:val="00BA0252"/>
    <w:rsid w:val="00BA2328"/>
    <w:rsid w:val="00BA6B4F"/>
    <w:rsid w:val="00BC1095"/>
    <w:rsid w:val="00BC29DC"/>
    <w:rsid w:val="00BC3AA4"/>
    <w:rsid w:val="00BC50D3"/>
    <w:rsid w:val="00BC554C"/>
    <w:rsid w:val="00BC666A"/>
    <w:rsid w:val="00BD4A88"/>
    <w:rsid w:val="00BF0FAF"/>
    <w:rsid w:val="00C13EE8"/>
    <w:rsid w:val="00C17E24"/>
    <w:rsid w:val="00C23272"/>
    <w:rsid w:val="00C27BA0"/>
    <w:rsid w:val="00C35E16"/>
    <w:rsid w:val="00C37C42"/>
    <w:rsid w:val="00C418A4"/>
    <w:rsid w:val="00C545B7"/>
    <w:rsid w:val="00C54DD5"/>
    <w:rsid w:val="00C63058"/>
    <w:rsid w:val="00C656C6"/>
    <w:rsid w:val="00C6725D"/>
    <w:rsid w:val="00C674B9"/>
    <w:rsid w:val="00C7618A"/>
    <w:rsid w:val="00C94AC6"/>
    <w:rsid w:val="00CA2AB0"/>
    <w:rsid w:val="00CA64BE"/>
    <w:rsid w:val="00CB692A"/>
    <w:rsid w:val="00CC12ED"/>
    <w:rsid w:val="00CD0839"/>
    <w:rsid w:val="00CD3E03"/>
    <w:rsid w:val="00CD5645"/>
    <w:rsid w:val="00CD5C78"/>
    <w:rsid w:val="00CE0C27"/>
    <w:rsid w:val="00CE332C"/>
    <w:rsid w:val="00CE75DA"/>
    <w:rsid w:val="00CF2EFC"/>
    <w:rsid w:val="00D012E7"/>
    <w:rsid w:val="00D052C8"/>
    <w:rsid w:val="00D135A4"/>
    <w:rsid w:val="00D21DDB"/>
    <w:rsid w:val="00D312AC"/>
    <w:rsid w:val="00D423F9"/>
    <w:rsid w:val="00D51D54"/>
    <w:rsid w:val="00D5501B"/>
    <w:rsid w:val="00D64344"/>
    <w:rsid w:val="00D81C7F"/>
    <w:rsid w:val="00D82DAF"/>
    <w:rsid w:val="00D85DFF"/>
    <w:rsid w:val="00D9103F"/>
    <w:rsid w:val="00D97BAA"/>
    <w:rsid w:val="00DA2298"/>
    <w:rsid w:val="00DB04A8"/>
    <w:rsid w:val="00DB075E"/>
    <w:rsid w:val="00DB49CE"/>
    <w:rsid w:val="00DB62CF"/>
    <w:rsid w:val="00DC37B6"/>
    <w:rsid w:val="00DC3F87"/>
    <w:rsid w:val="00DD16F2"/>
    <w:rsid w:val="00DD3935"/>
    <w:rsid w:val="00DD7E7C"/>
    <w:rsid w:val="00DE0172"/>
    <w:rsid w:val="00DE194E"/>
    <w:rsid w:val="00DE7478"/>
    <w:rsid w:val="00DE76CD"/>
    <w:rsid w:val="00DF32D7"/>
    <w:rsid w:val="00DF71A6"/>
    <w:rsid w:val="00E051D5"/>
    <w:rsid w:val="00E1012D"/>
    <w:rsid w:val="00E10397"/>
    <w:rsid w:val="00E23570"/>
    <w:rsid w:val="00E30FA9"/>
    <w:rsid w:val="00E323CF"/>
    <w:rsid w:val="00E35FFB"/>
    <w:rsid w:val="00E507E0"/>
    <w:rsid w:val="00E52ACA"/>
    <w:rsid w:val="00E6382D"/>
    <w:rsid w:val="00E6462C"/>
    <w:rsid w:val="00E67C45"/>
    <w:rsid w:val="00E72864"/>
    <w:rsid w:val="00E7396E"/>
    <w:rsid w:val="00E741D2"/>
    <w:rsid w:val="00E74607"/>
    <w:rsid w:val="00E76BFE"/>
    <w:rsid w:val="00E811CE"/>
    <w:rsid w:val="00E81F68"/>
    <w:rsid w:val="00E8322C"/>
    <w:rsid w:val="00EB0B94"/>
    <w:rsid w:val="00EC4244"/>
    <w:rsid w:val="00EC7361"/>
    <w:rsid w:val="00ED0C90"/>
    <w:rsid w:val="00EF5D7D"/>
    <w:rsid w:val="00F001F1"/>
    <w:rsid w:val="00F05A3C"/>
    <w:rsid w:val="00F36AFC"/>
    <w:rsid w:val="00F55495"/>
    <w:rsid w:val="00F56109"/>
    <w:rsid w:val="00F615C1"/>
    <w:rsid w:val="00F74B61"/>
    <w:rsid w:val="00F75728"/>
    <w:rsid w:val="00F763FF"/>
    <w:rsid w:val="00F9124B"/>
    <w:rsid w:val="00F9456C"/>
    <w:rsid w:val="00F94879"/>
    <w:rsid w:val="00FA1B77"/>
    <w:rsid w:val="00FA4059"/>
    <w:rsid w:val="00FA7132"/>
    <w:rsid w:val="00FA74E9"/>
    <w:rsid w:val="00FC391A"/>
    <w:rsid w:val="00FC60C0"/>
    <w:rsid w:val="00FD300E"/>
    <w:rsid w:val="00FD5C10"/>
    <w:rsid w:val="00FE6563"/>
    <w:rsid w:val="DDEB3251"/>
    <w:rsid w:val="FBEF52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semiHidden="1" w:unhideWhenUsed="1" w:qFormat="1"/>
    <w:lsdException w:name="page number" w:qFormat="1"/>
    <w:lsdException w:name="toa heading" w:qFormat="1"/>
    <w:lsdException w:name="Title" w:qFormat="1"/>
    <w:lsdException w:name="Default Paragraph Font" w:semiHidden="1"/>
    <w:lsdException w:name="Body Text Indent" w:qFormat="1"/>
    <w:lsdException w:name="Subtitle" w:qFormat="1"/>
    <w:lsdException w:name="Block Text"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szCs w:val="24"/>
    </w:rPr>
  </w:style>
  <w:style w:type="paragraph" w:styleId="1">
    <w:name w:val="heading 1"/>
    <w:basedOn w:val="a"/>
    <w:next w:val="a"/>
    <w:link w:val="1Char"/>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pPr>
      <w:keepNext/>
      <w:keepLines/>
      <w:numPr>
        <w:ilvl w:val="1"/>
        <w:numId w:val="1"/>
      </w:numPr>
      <w:spacing w:line="413" w:lineRule="auto"/>
      <w:outlineLvl w:val="1"/>
    </w:pPr>
    <w:rPr>
      <w:rFonts w:ascii="Arial" w:eastAsia="黑体" w:hAnsi="Arial"/>
      <w:b/>
      <w:szCs w:val="20"/>
    </w:rPr>
  </w:style>
  <w:style w:type="paragraph" w:styleId="3">
    <w:name w:val="heading 3"/>
    <w:basedOn w:val="a"/>
    <w:next w:val="a"/>
    <w:link w:val="3Char"/>
    <w:qFormat/>
    <w:pPr>
      <w:keepNext/>
      <w:keepLines/>
      <w:numPr>
        <w:ilvl w:val="2"/>
        <w:numId w:val="1"/>
      </w:numPr>
      <w:spacing w:line="413" w:lineRule="auto"/>
      <w:outlineLvl w:val="2"/>
    </w:pPr>
    <w:rPr>
      <w:b/>
      <w:szCs w:val="20"/>
    </w:rPr>
  </w:style>
  <w:style w:type="paragraph" w:styleId="4">
    <w:name w:val="heading 4"/>
    <w:basedOn w:val="a"/>
    <w:next w:val="a"/>
    <w:link w:val="4Char"/>
    <w:qFormat/>
    <w:pPr>
      <w:keepNext/>
      <w:keepLines/>
      <w:numPr>
        <w:ilvl w:val="3"/>
        <w:numId w:val="1"/>
      </w:numPr>
      <w:spacing w:line="372" w:lineRule="auto"/>
      <w:outlineLvl w:val="3"/>
    </w:pPr>
    <w:rPr>
      <w:rFonts w:ascii="Arial" w:eastAsia="黑体" w:hAnsi="Arial"/>
      <w:b/>
      <w:sz w:val="28"/>
      <w:szCs w:val="20"/>
    </w:rPr>
  </w:style>
  <w:style w:type="paragraph" w:styleId="5">
    <w:name w:val="heading 5"/>
    <w:basedOn w:val="a"/>
    <w:next w:val="a"/>
    <w:link w:val="5Char"/>
    <w:qFormat/>
    <w:pPr>
      <w:keepNext/>
      <w:keepLines/>
      <w:numPr>
        <w:ilvl w:val="4"/>
        <w:numId w:val="1"/>
      </w:numPr>
      <w:spacing w:line="372" w:lineRule="auto"/>
      <w:outlineLvl w:val="4"/>
    </w:pPr>
    <w:rPr>
      <w:b/>
      <w:sz w:val="28"/>
      <w:szCs w:val="20"/>
    </w:rPr>
  </w:style>
  <w:style w:type="paragraph" w:styleId="6">
    <w:name w:val="heading 6"/>
    <w:basedOn w:val="a"/>
    <w:next w:val="a"/>
    <w:link w:val="6Char"/>
    <w:qFormat/>
    <w:pPr>
      <w:keepNext/>
      <w:keepLines/>
      <w:numPr>
        <w:ilvl w:val="5"/>
        <w:numId w:val="1"/>
      </w:numPr>
      <w:spacing w:line="317" w:lineRule="auto"/>
      <w:outlineLvl w:val="5"/>
    </w:pPr>
    <w:rPr>
      <w:rFonts w:ascii="Arial" w:eastAsia="黑体" w:hAnsi="Arial"/>
      <w:b/>
      <w:sz w:val="24"/>
      <w:szCs w:val="20"/>
    </w:rPr>
  </w:style>
  <w:style w:type="paragraph" w:styleId="7">
    <w:name w:val="heading 7"/>
    <w:basedOn w:val="a"/>
    <w:next w:val="a"/>
    <w:link w:val="7Char"/>
    <w:qFormat/>
    <w:pPr>
      <w:keepNext/>
      <w:keepLines/>
      <w:numPr>
        <w:ilvl w:val="6"/>
        <w:numId w:val="1"/>
      </w:numPr>
      <w:spacing w:line="317" w:lineRule="auto"/>
      <w:outlineLvl w:val="6"/>
    </w:pPr>
    <w:rPr>
      <w:b/>
      <w:sz w:val="24"/>
      <w:szCs w:val="20"/>
    </w:rPr>
  </w:style>
  <w:style w:type="paragraph" w:styleId="8">
    <w:name w:val="heading 8"/>
    <w:basedOn w:val="a"/>
    <w:next w:val="a"/>
    <w:link w:val="8Char"/>
    <w:qFormat/>
    <w:pPr>
      <w:keepNext/>
      <w:keepLines/>
      <w:numPr>
        <w:ilvl w:val="7"/>
        <w:numId w:val="1"/>
      </w:numPr>
      <w:spacing w:line="317" w:lineRule="auto"/>
      <w:outlineLvl w:val="7"/>
    </w:pPr>
    <w:rPr>
      <w:rFonts w:ascii="Arial" w:eastAsia="黑体" w:hAnsi="Arial"/>
      <w:sz w:val="24"/>
      <w:szCs w:val="20"/>
    </w:rPr>
  </w:style>
  <w:style w:type="paragraph" w:styleId="9">
    <w:name w:val="heading 9"/>
    <w:basedOn w:val="a"/>
    <w:next w:val="a"/>
    <w:link w:val="9Char"/>
    <w:qFormat/>
    <w:pPr>
      <w:keepNext/>
      <w:keepLines/>
      <w:numPr>
        <w:ilvl w:val="8"/>
        <w:numId w:val="1"/>
      </w:numPr>
      <w:spacing w:line="317" w:lineRule="auto"/>
      <w:outlineLvl w:val="8"/>
    </w:pPr>
    <w:rPr>
      <w:rFonts w:ascii="Arial" w:eastAsia="黑体" w:hAnsi="Arial"/>
      <w:sz w:val="21"/>
      <w:szCs w:val="20"/>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Pr>
      <w:rFonts w:ascii="Calibri" w:eastAsia="方正仿宋_GBK" w:hAnsi="Calibri"/>
      <w:b/>
      <w:bCs/>
      <w:kern w:val="44"/>
      <w:sz w:val="44"/>
      <w:szCs w:val="44"/>
    </w:rPr>
  </w:style>
  <w:style w:type="character" w:customStyle="1" w:styleId="2Char">
    <w:name w:val="标题 2 Char"/>
    <w:basedOn w:val="a0"/>
    <w:link w:val="2"/>
    <w:semiHidden/>
    <w:rPr>
      <w:rFonts w:ascii="Arial" w:eastAsia="黑体" w:hAnsi="Arial"/>
      <w:b/>
      <w:kern w:val="2"/>
      <w:sz w:val="32"/>
    </w:rPr>
  </w:style>
  <w:style w:type="character" w:customStyle="1" w:styleId="3Char">
    <w:name w:val="标题 3 Char"/>
    <w:basedOn w:val="a0"/>
    <w:link w:val="3"/>
    <w:semiHidden/>
    <w:rPr>
      <w:rFonts w:eastAsia="方正仿宋_GBK"/>
      <w:b/>
      <w:kern w:val="2"/>
      <w:sz w:val="32"/>
    </w:rPr>
  </w:style>
  <w:style w:type="character" w:customStyle="1" w:styleId="4Char">
    <w:name w:val="标题 4 Char"/>
    <w:basedOn w:val="a0"/>
    <w:link w:val="4"/>
    <w:semiHidden/>
    <w:rPr>
      <w:rFonts w:ascii="Arial" w:eastAsia="黑体" w:hAnsi="Arial"/>
      <w:b/>
      <w:kern w:val="2"/>
      <w:sz w:val="28"/>
    </w:rPr>
  </w:style>
  <w:style w:type="character" w:customStyle="1" w:styleId="5Char">
    <w:name w:val="标题 5 Char"/>
    <w:basedOn w:val="a0"/>
    <w:link w:val="5"/>
    <w:semiHidden/>
    <w:rPr>
      <w:rFonts w:eastAsia="方正仿宋_GBK"/>
      <w:b/>
      <w:kern w:val="2"/>
      <w:sz w:val="28"/>
    </w:rPr>
  </w:style>
  <w:style w:type="character" w:customStyle="1" w:styleId="6Char">
    <w:name w:val="标题 6 Char"/>
    <w:basedOn w:val="a0"/>
    <w:link w:val="6"/>
    <w:semiHidden/>
    <w:rPr>
      <w:rFonts w:ascii="Arial" w:eastAsia="黑体" w:hAnsi="Arial"/>
      <w:b/>
      <w:kern w:val="2"/>
      <w:sz w:val="24"/>
    </w:rPr>
  </w:style>
  <w:style w:type="character" w:customStyle="1" w:styleId="7Char">
    <w:name w:val="标题 7 Char"/>
    <w:basedOn w:val="a0"/>
    <w:link w:val="7"/>
    <w:semiHidden/>
    <w:rPr>
      <w:rFonts w:eastAsia="方正仿宋_GBK"/>
      <w:b/>
      <w:kern w:val="2"/>
      <w:sz w:val="24"/>
    </w:rPr>
  </w:style>
  <w:style w:type="character" w:customStyle="1" w:styleId="8Char">
    <w:name w:val="标题 8 Char"/>
    <w:basedOn w:val="a0"/>
    <w:link w:val="8"/>
    <w:semiHidden/>
    <w:rPr>
      <w:rFonts w:ascii="Arial" w:eastAsia="黑体" w:hAnsi="Arial"/>
      <w:kern w:val="2"/>
      <w:sz w:val="24"/>
    </w:rPr>
  </w:style>
  <w:style w:type="character" w:customStyle="1" w:styleId="9Char">
    <w:name w:val="标题 9 Char"/>
    <w:basedOn w:val="a0"/>
    <w:link w:val="9"/>
    <w:semiHidden/>
    <w:rPr>
      <w:rFonts w:ascii="Arial" w:eastAsia="黑体" w:hAnsi="Arial"/>
      <w:kern w:val="2"/>
      <w:sz w:val="21"/>
    </w:rPr>
  </w:style>
  <w:style w:type="paragraph" w:styleId="a3">
    <w:name w:val="toa heading"/>
    <w:basedOn w:val="a"/>
    <w:next w:val="a"/>
    <w:qFormat/>
    <w:pPr>
      <w:spacing w:before="120"/>
    </w:pPr>
    <w:rPr>
      <w:rFonts w:ascii="Arial" w:hAnsi="Arial" w:cs="Arial"/>
    </w:rPr>
  </w:style>
  <w:style w:type="paragraph" w:styleId="a4">
    <w:name w:val="Body Text Indent"/>
    <w:basedOn w:val="a"/>
    <w:link w:val="Char"/>
    <w:qFormat/>
    <w:pPr>
      <w:numPr>
        <w:numId w:val="1"/>
      </w:numPr>
      <w:ind w:firstLineChars="200" w:firstLine="640"/>
    </w:pPr>
    <w:rPr>
      <w:szCs w:val="32"/>
    </w:rPr>
  </w:style>
  <w:style w:type="character" w:customStyle="1" w:styleId="Char">
    <w:name w:val="正文文本缩进 Char"/>
    <w:basedOn w:val="a0"/>
    <w:link w:val="a4"/>
    <w:rPr>
      <w:rFonts w:eastAsia="方正仿宋_GBK"/>
      <w:kern w:val="2"/>
      <w:sz w:val="32"/>
      <w:szCs w:val="32"/>
    </w:rPr>
  </w:style>
  <w:style w:type="paragraph" w:styleId="a5">
    <w:name w:val="Block Text"/>
    <w:basedOn w:val="a"/>
    <w:uiPriority w:val="99"/>
    <w:unhideWhenUsed/>
    <w:qFormat/>
    <w:pPr>
      <w:snapToGrid w:val="0"/>
      <w:spacing w:line="408" w:lineRule="auto"/>
      <w:ind w:left="-113" w:right="-510" w:firstLine="510"/>
    </w:pPr>
    <w:rPr>
      <w:rFonts w:ascii="Calibri" w:hAnsi="Calibri"/>
      <w:sz w:val="24"/>
    </w:rPr>
  </w:style>
  <w:style w:type="paragraph" w:styleId="a6">
    <w:name w:val="Balloon Text"/>
    <w:basedOn w:val="a"/>
    <w:link w:val="Char0"/>
    <w:rPr>
      <w:rFonts w:ascii="Calibri" w:hAnsi="Calibri"/>
      <w:sz w:val="18"/>
      <w:szCs w:val="18"/>
    </w:rPr>
  </w:style>
  <w:style w:type="character" w:customStyle="1" w:styleId="Char0">
    <w:name w:val="批注框文本 Char"/>
    <w:basedOn w:val="a0"/>
    <w:link w:val="a6"/>
    <w:rPr>
      <w:rFonts w:ascii="Calibri" w:eastAsia="方正仿宋_GBK" w:hAnsi="Calibri"/>
      <w:kern w:val="2"/>
      <w:sz w:val="18"/>
      <w:szCs w:val="18"/>
    </w:rPr>
  </w:style>
  <w:style w:type="paragraph" w:styleId="a7">
    <w:name w:val="footer"/>
    <w:basedOn w:val="a"/>
    <w:link w:val="Char1"/>
    <w:qFormat/>
    <w:pPr>
      <w:tabs>
        <w:tab w:val="center" w:pos="4153"/>
        <w:tab w:val="right" w:pos="8306"/>
      </w:tabs>
      <w:snapToGrid w:val="0"/>
      <w:jc w:val="left"/>
    </w:pPr>
    <w:rPr>
      <w:sz w:val="18"/>
      <w:szCs w:val="18"/>
    </w:rPr>
  </w:style>
  <w:style w:type="character" w:customStyle="1" w:styleId="Char1">
    <w:name w:val="页脚 Char"/>
    <w:basedOn w:val="a0"/>
    <w:link w:val="a7"/>
    <w:qFormat/>
    <w:rPr>
      <w:rFonts w:eastAsia="方正仿宋_GBK"/>
      <w:kern w:val="2"/>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rPr>
      <w:rFonts w:eastAsia="方正仿宋_GBK"/>
      <w:kern w:val="2"/>
      <w:sz w:val="18"/>
      <w:szCs w:val="18"/>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rPr>
  </w:style>
  <w:style w:type="character" w:customStyle="1" w:styleId="HTMLChar">
    <w:name w:val="HTML 预设格式 Char"/>
    <w:basedOn w:val="a0"/>
    <w:link w:val="HTML"/>
    <w:rPr>
      <w:rFonts w:ascii="宋体" w:hAnsi="宋体"/>
      <w:sz w:val="24"/>
      <w:szCs w:val="24"/>
    </w:rPr>
  </w:style>
  <w:style w:type="paragraph" w:styleId="a9">
    <w:name w:val="Normal (Web)"/>
    <w:basedOn w:val="a"/>
    <w:uiPriority w:val="99"/>
    <w:unhideWhenUsed/>
    <w:qFormat/>
    <w:pPr>
      <w:widowControl/>
      <w:jc w:val="left"/>
    </w:pPr>
    <w:rPr>
      <w:rFonts w:ascii="宋体" w:eastAsia="宋体" w:hAnsi="宋体" w:cs="宋体"/>
      <w:kern w:val="0"/>
      <w:sz w:val="24"/>
    </w:rPr>
  </w:style>
  <w:style w:type="paragraph" w:styleId="aa">
    <w:name w:val="Title"/>
    <w:basedOn w:val="a"/>
    <w:next w:val="a"/>
    <w:link w:val="Char3"/>
    <w:qFormat/>
    <w:pPr>
      <w:spacing w:line="600" w:lineRule="exact"/>
      <w:jc w:val="left"/>
      <w:outlineLvl w:val="1"/>
    </w:pPr>
    <w:rPr>
      <w:rFonts w:ascii="Cambria" w:eastAsia="方正楷体_GBK" w:hAnsi="Cambria"/>
      <w:bCs/>
      <w:color w:val="000000"/>
      <w:kern w:val="0"/>
      <w:szCs w:val="32"/>
    </w:rPr>
  </w:style>
  <w:style w:type="character" w:customStyle="1" w:styleId="Char3">
    <w:name w:val="标题 Char"/>
    <w:basedOn w:val="a0"/>
    <w:link w:val="aa"/>
    <w:qFormat/>
    <w:rPr>
      <w:rFonts w:ascii="Cambria" w:eastAsia="方正楷体_GBK" w:hAnsi="Cambria"/>
      <w:bCs/>
      <w:color w:val="000000"/>
      <w:sz w:val="32"/>
      <w:szCs w:val="32"/>
    </w:rPr>
  </w:style>
  <w:style w:type="table" w:styleId="ab">
    <w:name w:val="Table Grid"/>
    <w:basedOn w:val="a1"/>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character" w:styleId="ad">
    <w:name w:val="Hyperlink"/>
    <w:qFormat/>
    <w:rPr>
      <w:color w:val="040404"/>
      <w:u w:val="none"/>
    </w:rPr>
  </w:style>
  <w:style w:type="paragraph" w:customStyle="1" w:styleId="ListParagraph">
    <w:name w:val="List Paragraph"/>
    <w:basedOn w:val="a"/>
    <w:pPr>
      <w:ind w:firstLineChars="200" w:firstLine="420"/>
    </w:pPr>
    <w:rPr>
      <w:rFonts w:ascii="Calibri" w:eastAsia="宋体" w:hAnsi="Calibri"/>
      <w:sz w:val="21"/>
      <w:szCs w:val="22"/>
    </w:rPr>
  </w:style>
  <w:style w:type="paragraph" w:styleId="ae">
    <w:name w:val="List Paragraph"/>
    <w:basedOn w:val="a"/>
    <w:uiPriority w:val="34"/>
    <w:qFormat/>
    <w:pPr>
      <w:ind w:firstLineChars="200" w:firstLine="420"/>
    </w:pPr>
    <w:rPr>
      <w:rFonts w:ascii="Calibri" w:eastAsia="宋体" w:hAnsi="Calibri" w:cs="宋体"/>
      <w:sz w:val="21"/>
    </w:rPr>
  </w:style>
  <w:style w:type="paragraph" w:customStyle="1" w:styleId="NormalIndent">
    <w:name w:val="NormalIndent"/>
    <w:basedOn w:val="a"/>
    <w:next w:val="a"/>
    <w:qFormat/>
    <w:pPr>
      <w:ind w:firstLineChars="200" w:firstLine="200"/>
    </w:pPr>
    <w:rPr>
      <w:rFonts w:ascii="Calibri" w:eastAsia="宋体" w:hAnsi="Calibri"/>
      <w:sz w:val="24"/>
      <w:szCs w:val="20"/>
    </w:rPr>
  </w:style>
  <w:style w:type="paragraph" w:customStyle="1" w:styleId="Default">
    <w:name w:val="Default"/>
    <w:qFormat/>
    <w:pPr>
      <w:widowControl w:val="0"/>
      <w:autoSpaceDE w:val="0"/>
      <w:autoSpaceDN w:val="0"/>
      <w:adjustRightInd w:val="0"/>
      <w:spacing w:line="560" w:lineRule="exact"/>
      <w:ind w:firstLineChars="200" w:firstLine="640"/>
      <w:jc w:val="both"/>
    </w:pPr>
    <w:rPr>
      <w:rFonts w:ascii="方正黑体_GBK" w:eastAsia="方正黑体_GBK" w:hAnsi="方正仿宋_GBK" w:cs="方正仿宋_GBK"/>
      <w:color w:val="000000"/>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829</Words>
  <Characters>4729</Characters>
  <Application>Microsoft Office Word</Application>
  <DocSecurity>0</DocSecurity>
  <Lines>39</Lines>
  <Paragraphs>11</Paragraphs>
  <ScaleCrop>false</ScaleCrop>
  <Company>Microsoft</Company>
  <LinksUpToDate>false</LinksUpToDate>
  <CharactersWithSpaces>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2</cp:revision>
  <cp:lastPrinted>2021-01-05T14:27:00Z</cp:lastPrinted>
  <dcterms:created xsi:type="dcterms:W3CDTF">2025-05-20T06:36:00Z</dcterms:created>
  <dcterms:modified xsi:type="dcterms:W3CDTF">2025-05-20T06:36:00Z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