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0"/>
          <w:w w:val="58"/>
          <w:sz w:val="116"/>
          <w:szCs w:val="116"/>
          <w:lang w:val="zh-CN"/>
        </w:rPr>
      </w:pPr>
      <w:r>
        <w:rPr>
          <w:rFonts w:hint="eastAsia" w:ascii="方正小标宋_GBK" w:eastAsia="方正小标宋_GBK" w:cs="方正小标宋_GBK"/>
          <w:color w:val="FF0000"/>
          <w:spacing w:val="-50"/>
          <w:w w:val="58"/>
          <w:sz w:val="116"/>
          <w:szCs w:val="116"/>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16" w:firstLineChars="100"/>
        <w:jc w:val="center"/>
        <w:rPr>
          <w:rFonts w:ascii="方正仿宋_GBK" w:cs="方正楷体_GBK"/>
          <w:lang w:val="zh-CN"/>
        </w:rPr>
      </w:pPr>
      <w:r>
        <w:rPr>
          <w:rFonts w:hint="eastAsia" w:ascii="方正仿宋_GBK" w:cs="方正仿宋_GBK"/>
          <w:lang w:val="zh-CN"/>
        </w:rPr>
        <w:t>涪大木府发〔20</w:t>
      </w:r>
      <w:r>
        <w:rPr>
          <w:rFonts w:hint="eastAsia" w:ascii="方正仿宋_GBK" w:cs="方正仿宋_GBK"/>
        </w:rPr>
        <w:t>21</w:t>
      </w:r>
      <w:r>
        <w:rPr>
          <w:rFonts w:hint="eastAsia" w:ascii="方正仿宋_GBK" w:cs="方正仿宋_GBK"/>
          <w:lang w:val="zh-CN"/>
        </w:rPr>
        <w:t>〕</w:t>
      </w:r>
      <w:r>
        <w:rPr>
          <w:rFonts w:hint="eastAsia" w:ascii="方正仿宋_GBK" w:cs="方正仿宋_GBK"/>
        </w:rPr>
        <w:t>107</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135890</wp:posOffset>
                </wp:positionV>
                <wp:extent cx="2668270" cy="0"/>
                <wp:effectExtent l="0" t="12700" r="17780" b="15875"/>
                <wp:wrapNone/>
                <wp:docPr id="1" name="直线 3"/>
                <wp:cNvGraphicFramePr/>
                <a:graphic xmlns:a="http://schemas.openxmlformats.org/drawingml/2006/main">
                  <a:graphicData uri="http://schemas.microsoft.com/office/word/2010/wordprocessingShape">
                    <wps:wsp>
                      <wps:cNvSpPr/>
                      <wps:spPr>
                        <a:xfrm>
                          <a:off x="0" y="0"/>
                          <a:ext cx="266827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8.25pt;margin-top:10.7pt;height:0pt;width:210.1pt;z-index:251659264;mso-width-relative:page;mso-height-relative:page;" filled="f" stroked="t" coordsize="21600,21600" o:gfxdata="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jPHyK1wAA&#10;AAkBAAAPAAAAAAAAAAEAIAAAADgAAABkcnMvZG93bnJldi54bWxQSwECFAAUAAAACACHTuJATZ6i&#10;GdABAACRAwAADgAAAAAAAAABACAAAAA8AQAAZHJzL2Uyb0RvYy54bWxQSwUGAAAAAAYABgBZAQAA&#10;fgUAAAAA&#10;">
                <v:fill on="f" focussize="0,0"/>
                <v:stroke weight="2pt" color="#FF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120650</wp:posOffset>
                </wp:positionV>
                <wp:extent cx="2685415" cy="0"/>
                <wp:effectExtent l="0" t="12700" r="635" b="15875"/>
                <wp:wrapNone/>
                <wp:docPr id="2" name="直线 2"/>
                <wp:cNvGraphicFramePr/>
                <a:graphic xmlns:a="http://schemas.openxmlformats.org/drawingml/2006/main">
                  <a:graphicData uri="http://schemas.microsoft.com/office/word/2010/wordprocessingShape">
                    <wps:wsp>
                      <wps:cNvSpPr/>
                      <wps:spPr>
                        <a:xfrm>
                          <a:off x="0" y="0"/>
                          <a:ext cx="268541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237pt;margin-top:9.5pt;height:0pt;width:211.45pt;z-index:251660288;mso-width-relative:page;mso-height-relative:page;" filled="f" stroked="t" coordsize="21600,21600" o:gfxdata="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5PyHX&#10;AAAACQEAAA8AAAAAAAAAAQAgAAAAOAAAAGRycy9kb3ducmV2LnhtbFBLAQIUABQAAAAIAIdO4kDR&#10;wy9d0gEAAJEDAAAOAAAAAAAAAAEAIAAAADwBAABkcnMvZTJvRG9jLnhtbFBLBQYAAAAABgAGAFkB&#10;AACABQAAAAA=&#10;">
                <v:fill on="f" focussize="0,0"/>
                <v:stroke weight="2pt" color="#FF0000" joinstyle="round"/>
                <v:imagedata o:title=""/>
                <o:lock v:ext="edit" aspectratio="f"/>
              </v:line>
            </w:pict>
          </mc:Fallback>
        </mc:AlternateContent>
      </w:r>
      <w:r>
        <w:rPr>
          <w:rFonts w:hint="eastAsia" w:ascii="方正小标宋_GBK" w:eastAsia="方正小标宋_GBK" w:cs="方正小标宋_GBK"/>
          <w:color w:val="FF0000"/>
          <w:sz w:val="50"/>
          <w:szCs w:val="50"/>
          <w:lang w:val="zh-CN"/>
        </w:rPr>
        <w:t>★</w:t>
      </w:r>
    </w:p>
    <w:p>
      <w:pPr>
        <w:spacing w:line="240" w:lineRule="exact"/>
        <w:rPr>
          <w:rFonts w:ascii="仿宋_GB2312" w:hAnsi="仿宋_GB2312" w:eastAsia="仿宋_GB2312" w:cs="仿宋_GB2312"/>
          <w:sz w:val="44"/>
          <w:szCs w:val="44"/>
        </w:rPr>
      </w:pPr>
      <w:bookmarkStart w:id="0" w:name="_GoBack"/>
      <w:bookmarkEnd w:id="0"/>
    </w:p>
    <w:p>
      <w:pPr>
        <w:autoSpaceDE w:val="0"/>
        <w:autoSpaceDN w:val="0"/>
        <w:adjustRightInd w:val="0"/>
        <w:jc w:val="center"/>
        <w:rPr>
          <w:rFonts w:hint="eastAsia" w:ascii="方正小标宋_GBK" w:eastAsia="方正小标宋_GBK" w:cs="方正小标宋_GBK"/>
          <w:spacing w:val="-20"/>
          <w:sz w:val="44"/>
          <w:szCs w:val="44"/>
          <w:lang w:val="zh-CN"/>
        </w:rPr>
      </w:pPr>
      <w:r>
        <w:rPr>
          <w:rFonts w:hint="eastAsia" w:ascii="方正小标宋_GBK" w:eastAsia="方正小标宋_GBK" w:cs="方正小标宋_GBK"/>
          <w:spacing w:val="-20"/>
          <w:sz w:val="44"/>
          <w:szCs w:val="44"/>
          <w:lang w:val="zh-CN"/>
        </w:rPr>
        <w:t>重庆市涪陵区大木乡人民政府</w:t>
      </w:r>
    </w:p>
    <w:p>
      <w:pPr>
        <w:autoSpaceDE w:val="0"/>
        <w:autoSpaceDN w:val="0"/>
        <w:adjustRightInd w:val="0"/>
        <w:jc w:val="center"/>
        <w:rPr>
          <w:rFonts w:hint="eastAsia" w:ascii="方正小标宋_GBK" w:eastAsia="方正小标宋_GBK" w:cs="方正小标宋_GBK"/>
          <w:spacing w:val="-20"/>
          <w:sz w:val="44"/>
          <w:szCs w:val="44"/>
          <w:lang w:val="zh-CN"/>
        </w:rPr>
      </w:pPr>
      <w:r>
        <w:rPr>
          <w:rFonts w:hint="eastAsia" w:ascii="方正小标宋_GBK" w:eastAsia="方正小标宋_GBK" w:cs="方正小标宋_GBK"/>
          <w:spacing w:val="-20"/>
          <w:sz w:val="44"/>
          <w:szCs w:val="44"/>
          <w:lang w:val="zh-CN"/>
        </w:rPr>
        <w:t>关于印发《涪陵区大木乡工程建设项目招投标</w:t>
      </w:r>
    </w:p>
    <w:p>
      <w:pPr>
        <w:autoSpaceDE w:val="0"/>
        <w:autoSpaceDN w:val="0"/>
        <w:adjustRightInd w:val="0"/>
        <w:jc w:val="center"/>
        <w:rPr>
          <w:rFonts w:hint="eastAsia" w:ascii="方正小标宋_GBK" w:eastAsia="方正小标宋_GBK" w:cs="方正小标宋_GBK"/>
          <w:spacing w:val="-20"/>
          <w:sz w:val="44"/>
          <w:szCs w:val="44"/>
          <w:lang w:val="zh-CN"/>
        </w:rPr>
      </w:pPr>
      <w:r>
        <w:rPr>
          <w:rFonts w:hint="eastAsia" w:ascii="方正小标宋_GBK" w:eastAsia="方正小标宋_GBK" w:cs="方正小标宋_GBK"/>
          <w:spacing w:val="-20"/>
          <w:sz w:val="44"/>
          <w:szCs w:val="44"/>
          <w:lang w:val="zh-CN"/>
        </w:rPr>
        <w:t>管理办法（试行）》的通知</w:t>
      </w:r>
    </w:p>
    <w:p>
      <w:pPr>
        <w:autoSpaceDE w:val="0"/>
        <w:autoSpaceDN w:val="0"/>
        <w:adjustRightInd w:val="0"/>
        <w:spacing w:line="640" w:lineRule="exact"/>
        <w:jc w:val="center"/>
        <w:rPr>
          <w:rFonts w:hint="eastAsia" w:ascii="方正小标宋_GBK" w:eastAsia="方正小标宋_GBK" w:cs="方正小标宋_GBK"/>
          <w:spacing w:val="-20"/>
          <w:sz w:val="44"/>
          <w:szCs w:val="44"/>
          <w:lang w:val="zh-CN"/>
        </w:rPr>
      </w:pPr>
    </w:p>
    <w:p>
      <w:pPr>
        <w:spacing w:line="560" w:lineRule="exact"/>
        <w:rPr>
          <w:rFonts w:hint="eastAsia" w:ascii="方正仿宋_GBK"/>
        </w:rPr>
      </w:pPr>
      <w:r>
        <w:rPr>
          <w:rFonts w:hint="eastAsia" w:ascii="方正仿宋_GBK"/>
        </w:rPr>
        <w:t>各村（居）民委员会、乡属各部门：</w:t>
      </w:r>
    </w:p>
    <w:p>
      <w:pPr>
        <w:spacing w:line="560" w:lineRule="exact"/>
        <w:ind w:firstLine="632" w:firstLineChars="200"/>
        <w:rPr>
          <w:rFonts w:hint="eastAsia" w:ascii="方正仿宋_GBK"/>
        </w:rPr>
      </w:pPr>
      <w:r>
        <w:rPr>
          <w:rFonts w:hint="eastAsia" w:ascii="方正仿宋_GBK"/>
        </w:rPr>
        <w:t>现将《涪陵区大木乡工程建设项目招投标管理办法》印发给你们，请认真遵照执行。</w:t>
      </w:r>
    </w:p>
    <w:p>
      <w:pPr>
        <w:spacing w:line="560" w:lineRule="exact"/>
        <w:ind w:firstLine="632" w:firstLineChars="200"/>
        <w:rPr>
          <w:rFonts w:hint="eastAsia" w:ascii="方正仿宋_GBK"/>
        </w:rPr>
      </w:pPr>
    </w:p>
    <w:p>
      <w:pPr>
        <w:spacing w:line="560" w:lineRule="exact"/>
        <w:rPr>
          <w:rFonts w:hint="eastAsia" w:ascii="方正仿宋_GBK"/>
        </w:rPr>
      </w:pPr>
      <w:r>
        <w:rPr>
          <w:rFonts w:hint="eastAsia" w:ascii="方正仿宋_GBK"/>
        </w:rPr>
        <w:pict>
          <v:shape id="_x0000_s1158" o:spid="_x0000_s1158" o:spt="201" type="#_x0000_t201" style="position:absolute;left:0pt;margin-left:256.2pt;margin-top:611.1pt;height:113.25pt;width:113.25pt;mso-position-vertical-relative:page;z-index:-251658240;mso-width-relative:page;mso-height-relative:page;" o:ole="t" filled="f" stroked="f" coordsize="21600,21600">
            <v:path/>
            <v:fill on="f" focussize="0,0"/>
            <v:stroke on="f"/>
            <v:imagedata r:id="rId11" o:title=""/>
            <o:lock v:ext="edit"/>
          </v:shape>
          <w:control r:id="rId10" w:name="SignatureCtrl111" w:shapeid="_x0000_s1158"/>
        </w:pict>
      </w:r>
    </w:p>
    <w:p>
      <w:pPr>
        <w:spacing w:line="560" w:lineRule="exact"/>
        <w:ind w:firstLine="1580" w:firstLineChars="500"/>
        <w:rPr>
          <w:rFonts w:hint="eastAsia" w:ascii="方正仿宋_GBK"/>
        </w:rPr>
      </w:pPr>
    </w:p>
    <w:p>
      <w:pPr>
        <w:wordWrap w:val="0"/>
        <w:spacing w:line="560" w:lineRule="exact"/>
        <w:jc w:val="right"/>
        <w:rPr>
          <w:rFonts w:ascii="方正仿宋_GBK"/>
          <w:color w:val="000000"/>
        </w:rPr>
      </w:pPr>
      <w:r>
        <w:rPr>
          <w:rFonts w:hint="eastAsia" w:ascii="方正仿宋_GBK"/>
          <w:color w:val="000000"/>
        </w:rPr>
        <w:t xml:space="preserve">重庆市涪陵区大木乡人民政府    </w:t>
      </w:r>
    </w:p>
    <w:p>
      <w:pPr>
        <w:wordWrap w:val="0"/>
        <w:spacing w:line="560" w:lineRule="exact"/>
        <w:ind w:right="640"/>
        <w:jc w:val="center"/>
        <w:rPr>
          <w:rFonts w:hint="eastAsia" w:ascii="方正仿宋_GBK"/>
          <w:color w:val="000000"/>
        </w:rPr>
      </w:pPr>
      <w:r>
        <w:rPr>
          <w:rFonts w:hint="eastAsia" w:ascii="方正仿宋_GBK"/>
          <w:color w:val="000000"/>
        </w:rPr>
        <w:t xml:space="preserve">                             </w:t>
      </w:r>
      <w:r>
        <w:rPr>
          <w:rFonts w:ascii="方正仿宋_GBK"/>
          <w:color w:val="000000"/>
        </w:rPr>
        <w:t>20</w:t>
      </w:r>
      <w:r>
        <w:rPr>
          <w:rFonts w:hint="eastAsia" w:ascii="方正仿宋_GBK"/>
          <w:color w:val="000000"/>
        </w:rPr>
        <w:t>21年12月10日</w:t>
      </w:r>
    </w:p>
    <w:p>
      <w:pPr>
        <w:wordWrap w:val="0"/>
        <w:spacing w:line="560" w:lineRule="exact"/>
        <w:ind w:right="641" w:firstLine="632" w:firstLineChars="200"/>
        <w:rPr>
          <w:rFonts w:hint="eastAsia" w:ascii="方正仿宋_GBK"/>
          <w:color w:val="000000"/>
        </w:rPr>
      </w:pPr>
      <w:r>
        <w:rPr>
          <w:rFonts w:hint="eastAsia" w:ascii="方正仿宋_GBK"/>
          <w:color w:val="000000"/>
        </w:rPr>
        <w:t xml:space="preserve">（此件公开发布）  </w:t>
      </w:r>
    </w:p>
    <w:p>
      <w:pPr>
        <w:wordWrap w:val="0"/>
        <w:spacing w:line="560" w:lineRule="exact"/>
        <w:ind w:right="640"/>
        <w:jc w:val="center"/>
        <w:rPr>
          <w:rFonts w:hint="eastAsia" w:ascii="方正仿宋_GBK"/>
          <w:color w:val="000000"/>
        </w:rPr>
      </w:pPr>
    </w:p>
    <w:p>
      <w:pPr>
        <w:spacing w:line="560" w:lineRule="atLeast"/>
        <w:jc w:val="center"/>
        <w:rPr>
          <w:rFonts w:hint="eastAsia" w:ascii="方正小标宋_GBK" w:eastAsia="方正小标宋_GBK"/>
          <w:sz w:val="44"/>
          <w:szCs w:val="44"/>
        </w:rPr>
      </w:pPr>
      <w:r>
        <w:rPr>
          <w:rFonts w:hint="eastAsia" w:ascii="方正小标宋_GBK" w:eastAsia="方正小标宋_GBK"/>
          <w:sz w:val="44"/>
          <w:szCs w:val="44"/>
        </w:rPr>
        <w:t>涪陵区大木乡工程建设项目招投标管理</w:t>
      </w:r>
    </w:p>
    <w:p>
      <w:pPr>
        <w:spacing w:line="560" w:lineRule="atLeast"/>
        <w:jc w:val="center"/>
        <w:rPr>
          <w:rFonts w:hint="eastAsia" w:ascii="方正小标宋_GBK" w:eastAsia="方正小标宋_GBK"/>
          <w:sz w:val="44"/>
          <w:szCs w:val="44"/>
        </w:rPr>
      </w:pPr>
      <w:r>
        <w:rPr>
          <w:rFonts w:hint="eastAsia" w:ascii="方正小标宋_GBK" w:eastAsia="方正小标宋_GBK"/>
          <w:sz w:val="44"/>
          <w:szCs w:val="44"/>
        </w:rPr>
        <w:t>办法（试行）</w:t>
      </w:r>
    </w:p>
    <w:p>
      <w:pPr>
        <w:spacing w:line="540" w:lineRule="exact"/>
        <w:jc w:val="center"/>
        <w:rPr>
          <w:rFonts w:ascii="方正小标宋_GBK" w:eastAsia="方正小标宋_GBK"/>
          <w:sz w:val="44"/>
          <w:szCs w:val="44"/>
        </w:rPr>
      </w:pPr>
    </w:p>
    <w:p>
      <w:pPr>
        <w:spacing w:line="540" w:lineRule="exact"/>
        <w:jc w:val="center"/>
        <w:rPr>
          <w:rFonts w:ascii="方正黑体_GBK" w:eastAsia="方正黑体_GBK"/>
          <w:bCs/>
        </w:rPr>
      </w:pPr>
      <w:r>
        <w:rPr>
          <w:rFonts w:hint="eastAsia" w:ascii="方正黑体_GBK" w:eastAsia="方正黑体_GBK"/>
          <w:bCs/>
        </w:rPr>
        <w:t>第一章  总  则</w:t>
      </w:r>
    </w:p>
    <w:p>
      <w:pPr>
        <w:spacing w:line="540" w:lineRule="exact"/>
        <w:ind w:firstLine="630"/>
        <w:rPr>
          <w:rFonts w:ascii="方正仿宋_GBK"/>
        </w:rPr>
      </w:pPr>
      <w:r>
        <w:rPr>
          <w:rFonts w:hint="eastAsia" w:ascii="方正仿宋_GBK" w:hAnsi="方正仿宋_GBK" w:cs="方正仿宋_GBK"/>
          <w:b/>
        </w:rPr>
        <w:t xml:space="preserve">第一条 </w:t>
      </w:r>
      <w:r>
        <w:rPr>
          <w:rFonts w:hint="eastAsia" w:ascii="方正黑体_GBK" w:eastAsia="方正黑体_GBK"/>
          <w:sz w:val="28"/>
          <w:szCs w:val="28"/>
        </w:rPr>
        <w:t xml:space="preserve"> </w:t>
      </w:r>
      <w:r>
        <w:rPr>
          <w:rFonts w:hint="eastAsia" w:ascii="方正仿宋_GBK"/>
        </w:rPr>
        <w:t>为进一步规范涪陵区大木乡工程建设项目招标投标监督管理交易活动，推动大木乡各项工程建设健康有序发展，加强监督管理，维护公开、公平、公正和诚实信用的招标投标交易市场秩序，切实保护招标投标当事人的合法权益，根据《中华人民共和国招标投标法》、《中华人民共和国招标投标法实施条例》、《重庆市招标投标条例》等法律、法规，及《重庆市涪陵区人民政府关于印发重庆市涪陵区政府投资项目管理办法的通知》（涪陵府发〔2018〕13号）、《重庆市涪陵区人民政府关于印发重庆市涪陵区政府投资项目中介服务机构库管理办法的通知》（涪陵府发〔2017〕63号）、《重庆市涪陵区人民政府办公室关于印发涪陵区工程建设项目招标投标活动监督管理办法的通知》（涪陵府办发〔2018〕18号）等文件精神，结合大木乡实际，特制定本办法。</w:t>
      </w:r>
    </w:p>
    <w:p>
      <w:pPr>
        <w:spacing w:line="540" w:lineRule="exact"/>
        <w:ind w:firstLine="630"/>
        <w:rPr>
          <w:rFonts w:ascii="方正仿宋_GBK"/>
        </w:rPr>
      </w:pPr>
      <w:r>
        <w:rPr>
          <w:rFonts w:hint="eastAsia" w:ascii="方正仿宋_GBK" w:hAnsi="方正仿宋_GBK" w:cs="方正仿宋_GBK"/>
          <w:b/>
        </w:rPr>
        <w:t xml:space="preserve">第二条 </w:t>
      </w:r>
      <w:r>
        <w:rPr>
          <w:rFonts w:hint="eastAsia" w:ascii="方正仿宋_GBK"/>
        </w:rPr>
        <w:t xml:space="preserve"> 大木乡行政区域内的工程建设项目招标投标活动、中介服务机构类选取及其监督管理，适用本办法。</w:t>
      </w:r>
    </w:p>
    <w:p>
      <w:pPr>
        <w:spacing w:line="540" w:lineRule="exact"/>
        <w:ind w:firstLine="630"/>
        <w:rPr>
          <w:rFonts w:ascii="方正仿宋_GBK"/>
        </w:rPr>
      </w:pPr>
      <w:r>
        <w:rPr>
          <w:rFonts w:hint="eastAsia" w:ascii="方正仿宋_GBK"/>
        </w:rPr>
        <w:t>法律、法规对政府的招标投标另有规定的，从其规定。</w:t>
      </w:r>
    </w:p>
    <w:p>
      <w:pPr>
        <w:spacing w:line="540" w:lineRule="exact"/>
        <w:ind w:firstLine="632" w:firstLineChars="200"/>
        <w:rPr>
          <w:rFonts w:ascii="方正仿宋_GBK"/>
        </w:rPr>
      </w:pPr>
      <w:r>
        <w:rPr>
          <w:rFonts w:hint="eastAsia" w:ascii="方正仿宋_GBK" w:hAnsi="方正仿宋_GBK" w:cs="方正仿宋_GBK"/>
          <w:b/>
        </w:rPr>
        <w:t xml:space="preserve">第三条 </w:t>
      </w:r>
      <w:r>
        <w:rPr>
          <w:rFonts w:hint="eastAsia" w:ascii="方正楷体_GBK" w:eastAsia="方正楷体_GBK"/>
          <w:b/>
          <w:bCs/>
        </w:rPr>
        <w:t xml:space="preserve"> </w:t>
      </w:r>
      <w:r>
        <w:rPr>
          <w:rFonts w:hint="eastAsia" w:ascii="方正仿宋_GBK"/>
        </w:rPr>
        <w:t>使用国有资金投资项目、政府融资投资项目、使用国际组织或者外国政府资金的项目以及关系社会公共利益、社会安全的基础设施和公用事业的项目，严格按照本办法执行。</w:t>
      </w:r>
    </w:p>
    <w:p>
      <w:pPr>
        <w:spacing w:line="540" w:lineRule="exact"/>
        <w:ind w:firstLine="630"/>
        <w:rPr>
          <w:rFonts w:ascii="方正仿宋_GBK"/>
          <w:color w:val="FF0000"/>
        </w:rPr>
      </w:pPr>
      <w:r>
        <w:rPr>
          <w:rFonts w:hint="eastAsia" w:ascii="方正仿宋_GBK" w:hAnsi="方正仿宋_GBK" w:cs="方正仿宋_GBK"/>
          <w:b/>
        </w:rPr>
        <w:t>第四条</w:t>
      </w:r>
      <w:r>
        <w:rPr>
          <w:rFonts w:hint="eastAsia" w:ascii="方正仿宋_GBK"/>
          <w:color w:val="FF0000"/>
        </w:rPr>
        <w:t xml:space="preserve"> </w:t>
      </w:r>
      <w:r>
        <w:rPr>
          <w:rFonts w:hint="eastAsia" w:ascii="方正仿宋_GBK"/>
          <w:color w:val="000000"/>
        </w:rPr>
        <w:t>乡招标办负责指导、协调和综合监督本行政区域招标投标工作。乡级各部门按照规定的职责分工对招标投标活动实施监督管理。同一个项目资金来源涉及多个部门的，资金涉及部门均派专人实施监管。</w:t>
      </w:r>
    </w:p>
    <w:p>
      <w:pPr>
        <w:spacing w:line="540" w:lineRule="exact"/>
        <w:ind w:firstLine="632" w:firstLineChars="200"/>
        <w:rPr>
          <w:rFonts w:ascii="方正黑体_GBK" w:eastAsia="方正黑体_GBK"/>
          <w:b/>
          <w:bCs/>
        </w:rPr>
      </w:pPr>
      <w:r>
        <w:rPr>
          <w:rFonts w:hint="eastAsia" w:ascii="方正仿宋_GBK" w:hAnsi="方正仿宋_GBK" w:cs="方正仿宋_GBK"/>
          <w:b/>
        </w:rPr>
        <w:t>第五条</w:t>
      </w:r>
      <w:r>
        <w:rPr>
          <w:rFonts w:hint="eastAsia" w:ascii="方正楷体_GBK" w:eastAsia="方正楷体_GBK"/>
          <w:b/>
          <w:bCs/>
        </w:rPr>
        <w:t xml:space="preserve"> </w:t>
      </w:r>
      <w:r>
        <w:rPr>
          <w:rFonts w:hint="eastAsia" w:ascii="方正仿宋_GBK"/>
        </w:rPr>
        <w:t xml:space="preserve"> 大木乡招标办负责制订招标投标活动的场内管理制度和招标流程制度，承担信息发布、交易登记、场地安排、保存交易档案、统计交易数据、受理招标投标活动中的投诉等服务性工作，负责维护现场秩序等日常管理工作，为招标投标活动提供服务，为招标投标活动的监督管理提供必要条件。</w:t>
      </w:r>
    </w:p>
    <w:p>
      <w:pPr>
        <w:spacing w:line="540" w:lineRule="exact"/>
        <w:jc w:val="center"/>
        <w:rPr>
          <w:rFonts w:hint="eastAsia" w:ascii="方正黑体_GBK" w:eastAsia="方正黑体_GBK"/>
          <w:bCs/>
        </w:rPr>
      </w:pPr>
      <w:r>
        <w:rPr>
          <w:rFonts w:hint="eastAsia" w:ascii="方正黑体_GBK" w:eastAsia="方正黑体_GBK"/>
          <w:bCs/>
        </w:rPr>
        <w:t>第二章  项目分类及施工实施单位的选择</w:t>
      </w:r>
    </w:p>
    <w:p>
      <w:pPr>
        <w:spacing w:line="540" w:lineRule="exact"/>
        <w:jc w:val="center"/>
        <w:rPr>
          <w:rFonts w:hint="eastAsia" w:ascii="方正楷体_GBK" w:hAnsi="方正楷体_GBK" w:eastAsia="方正楷体_GBK" w:cs="方正楷体_GBK"/>
          <w:bCs/>
        </w:rPr>
      </w:pPr>
      <w:r>
        <w:rPr>
          <w:rFonts w:hint="eastAsia" w:ascii="方正楷体_GBK" w:hAnsi="方正楷体_GBK" w:eastAsia="方正楷体_GBK" w:cs="方正楷体_GBK"/>
          <w:bCs/>
        </w:rPr>
        <w:t>（一）工程建设施工类项目</w:t>
      </w:r>
    </w:p>
    <w:p>
      <w:pPr>
        <w:spacing w:line="540" w:lineRule="exact"/>
        <w:ind w:firstLine="630"/>
        <w:rPr>
          <w:rFonts w:ascii="方正仿宋_GBK"/>
        </w:rPr>
      </w:pPr>
      <w:r>
        <w:rPr>
          <w:rFonts w:hint="eastAsia" w:ascii="方正仿宋_GBK" w:hAnsi="方正仿宋_GBK" w:cs="方正仿宋_GBK"/>
          <w:b/>
        </w:rPr>
        <w:t xml:space="preserve">第六条 </w:t>
      </w:r>
      <w:r>
        <w:rPr>
          <w:rFonts w:hint="eastAsia" w:ascii="方正仿宋_GBK"/>
        </w:rPr>
        <w:t xml:space="preserve"> 工程建设施工类项目招标主要类别：</w:t>
      </w:r>
    </w:p>
    <w:p>
      <w:pPr>
        <w:spacing w:line="540" w:lineRule="exact"/>
        <w:ind w:firstLine="630"/>
        <w:rPr>
          <w:rFonts w:ascii="方正仿宋_GBK"/>
        </w:rPr>
      </w:pPr>
      <w:r>
        <w:rPr>
          <w:rFonts w:hint="eastAsia" w:ascii="方正仿宋_GBK"/>
        </w:rPr>
        <w:t>1.</w:t>
      </w:r>
      <w:r>
        <w:rPr>
          <w:rFonts w:hint="eastAsia" w:ascii="方正仿宋_GBK" w:hAnsi="华文仿宋"/>
        </w:rPr>
        <w:t>基础设施建设类项目；</w:t>
      </w:r>
      <w:r>
        <w:rPr>
          <w:rFonts w:hint="eastAsia" w:ascii="方正仿宋_GBK"/>
        </w:rPr>
        <w:t xml:space="preserve"> </w:t>
      </w:r>
    </w:p>
    <w:p>
      <w:pPr>
        <w:spacing w:line="540" w:lineRule="exact"/>
        <w:ind w:firstLine="632" w:firstLineChars="200"/>
        <w:rPr>
          <w:rFonts w:ascii="方正仿宋_GBK"/>
        </w:rPr>
      </w:pPr>
      <w:r>
        <w:rPr>
          <w:rFonts w:hint="eastAsia" w:ascii="方正仿宋_GBK"/>
        </w:rPr>
        <w:t>2.</w:t>
      </w:r>
      <w:r>
        <w:rPr>
          <w:rFonts w:hint="eastAsia" w:ascii="方正仿宋_GBK" w:hAnsi="华文仿宋"/>
        </w:rPr>
        <w:t>农业产业化类建设项目；</w:t>
      </w:r>
      <w:r>
        <w:rPr>
          <w:rFonts w:hint="eastAsia" w:ascii="方正仿宋_GBK"/>
        </w:rPr>
        <w:t xml:space="preserve"> </w:t>
      </w:r>
    </w:p>
    <w:p>
      <w:pPr>
        <w:spacing w:line="540" w:lineRule="exact"/>
        <w:ind w:firstLine="632" w:firstLineChars="200"/>
        <w:rPr>
          <w:rFonts w:ascii="方正仿宋_GBK" w:hAnsi="华文仿宋"/>
        </w:rPr>
      </w:pPr>
      <w:r>
        <w:rPr>
          <w:rFonts w:hint="eastAsia" w:ascii="方正仿宋_GBK"/>
        </w:rPr>
        <w:t>3.</w:t>
      </w:r>
      <w:r>
        <w:rPr>
          <w:rFonts w:hint="eastAsia" w:ascii="方正仿宋_GBK" w:hAnsi="华文仿宋"/>
        </w:rPr>
        <w:t>文化、教育、卫生、旅游等社会事业类建设项目；</w:t>
      </w:r>
    </w:p>
    <w:p>
      <w:pPr>
        <w:spacing w:line="540" w:lineRule="exact"/>
        <w:ind w:firstLine="632" w:firstLineChars="200"/>
        <w:rPr>
          <w:rFonts w:ascii="方正仿宋_GBK" w:hAnsi="华文仿宋"/>
        </w:rPr>
      </w:pPr>
      <w:r>
        <w:rPr>
          <w:rFonts w:hint="eastAsia" w:ascii="方正仿宋_GBK" w:hAnsi="华文仿宋"/>
        </w:rPr>
        <w:t>4</w:t>
      </w:r>
      <w:r>
        <w:rPr>
          <w:rFonts w:hint="eastAsia" w:ascii="方正仿宋_GBK"/>
        </w:rPr>
        <w:t>.因</w:t>
      </w:r>
      <w:r>
        <w:rPr>
          <w:rFonts w:hint="eastAsia" w:ascii="方正仿宋_GBK" w:hAnsi="华文仿宋"/>
        </w:rPr>
        <w:t>征地涉及的拆迁类施工项目；</w:t>
      </w:r>
    </w:p>
    <w:p>
      <w:pPr>
        <w:spacing w:line="540" w:lineRule="exact"/>
        <w:ind w:firstLine="632" w:firstLineChars="200"/>
        <w:rPr>
          <w:rFonts w:ascii="方正仿宋_GBK" w:hAnsi="华文仿宋"/>
        </w:rPr>
      </w:pPr>
      <w:r>
        <w:rPr>
          <w:rFonts w:hint="eastAsia" w:ascii="方正仿宋_GBK" w:hAnsi="华文仿宋"/>
        </w:rPr>
        <w:t>5</w:t>
      </w:r>
      <w:r>
        <w:rPr>
          <w:rFonts w:hint="eastAsia" w:ascii="方正仿宋_GBK"/>
        </w:rPr>
        <w:t>.</w:t>
      </w:r>
      <w:r>
        <w:rPr>
          <w:rFonts w:hint="eastAsia" w:ascii="方正仿宋_GBK" w:hAnsi="华文仿宋"/>
        </w:rPr>
        <w:t>乡政府确定的应进行招标的其他建设项目。</w:t>
      </w:r>
    </w:p>
    <w:p>
      <w:pPr>
        <w:spacing w:line="540" w:lineRule="exact"/>
        <w:ind w:firstLine="632" w:firstLineChars="200"/>
        <w:rPr>
          <w:rFonts w:ascii="方正仿宋_GBK"/>
        </w:rPr>
      </w:pPr>
      <w:r>
        <w:rPr>
          <w:rFonts w:hint="eastAsia" w:ascii="方正仿宋_GBK" w:hAnsi="方正仿宋_GBK" w:cs="方正仿宋_GBK"/>
          <w:b/>
        </w:rPr>
        <w:t xml:space="preserve">第七条 </w:t>
      </w:r>
      <w:r>
        <w:rPr>
          <w:rFonts w:hint="eastAsia" w:ascii="方正仿宋_GBK"/>
          <w:b/>
        </w:rPr>
        <w:t xml:space="preserve"> </w:t>
      </w:r>
      <w:r>
        <w:rPr>
          <w:rFonts w:hint="eastAsia" w:ascii="方正仿宋_GBK"/>
        </w:rPr>
        <w:t>工程预算投资在50万元以下的施工类项目的施工单位的选取：</w:t>
      </w:r>
    </w:p>
    <w:p>
      <w:pPr>
        <w:spacing w:line="540" w:lineRule="exact"/>
        <w:ind w:firstLine="632" w:firstLineChars="200"/>
        <w:rPr>
          <w:rFonts w:ascii="方正仿宋_GBK"/>
        </w:rPr>
      </w:pPr>
      <w:r>
        <w:rPr>
          <w:rFonts w:hint="eastAsia" w:ascii="方正仿宋_GBK"/>
        </w:rPr>
        <w:t>乡招标办应选择口碑较好、信誉较高、工程质量完成较好的施工单位建立数据库，制定管理办法，每年对数据库进行动态调整；</w:t>
      </w:r>
    </w:p>
    <w:p>
      <w:pPr>
        <w:spacing w:line="540" w:lineRule="exact"/>
        <w:ind w:firstLine="632" w:firstLineChars="200"/>
        <w:rPr>
          <w:rFonts w:ascii="方正仿宋_GBK"/>
        </w:rPr>
      </w:pPr>
      <w:r>
        <w:rPr>
          <w:rFonts w:hint="eastAsia" w:ascii="方正仿宋_GBK"/>
        </w:rPr>
        <w:t>施工合同金额或预算金额在10万元以下（不含10万元）的项目以财政预算审核金额为最高限价（除本级配套资金项目外），乡招标办建立的施工单位数据库中随机抽取1家施工单位；</w:t>
      </w:r>
    </w:p>
    <w:p>
      <w:pPr>
        <w:spacing w:line="540" w:lineRule="exact"/>
        <w:ind w:firstLine="632" w:firstLineChars="200"/>
        <w:rPr>
          <w:rFonts w:ascii="方正仿宋_GBK"/>
        </w:rPr>
      </w:pPr>
      <w:r>
        <w:rPr>
          <w:rFonts w:hint="eastAsia" w:ascii="方正仿宋_GBK"/>
        </w:rPr>
        <w:t>施工合同金额或预算金额在10万元（含10万元）以上至50万元（不含50万元）（除本级配套资金项目外），在乡招标办建立的施工单位数据库中随机抽取3家施工单位进行比选，或者面向社会公开招标3家（含3家）以上施工单位进行比选，如公开招标报名不足3家的，乡领导班子研究确定。</w:t>
      </w:r>
    </w:p>
    <w:p>
      <w:pPr>
        <w:spacing w:line="540" w:lineRule="exact"/>
        <w:ind w:firstLine="632" w:firstLineChars="200"/>
        <w:rPr>
          <w:rFonts w:ascii="方正仿宋_GBK"/>
        </w:rPr>
      </w:pPr>
      <w:r>
        <w:rPr>
          <w:rFonts w:hint="eastAsia" w:ascii="方正仿宋_GBK"/>
        </w:rPr>
        <w:t>施工合同金额或预算金额在50万元（不含50万元）以下的紧急抢险类项目，由乡领导班子直接指定。</w:t>
      </w:r>
    </w:p>
    <w:p>
      <w:pPr>
        <w:spacing w:line="540" w:lineRule="exact"/>
        <w:ind w:firstLine="620" w:firstLineChars="196"/>
        <w:rPr>
          <w:rFonts w:ascii="方正仿宋_GBK"/>
        </w:rPr>
      </w:pPr>
      <w:r>
        <w:rPr>
          <w:rFonts w:hint="eastAsia" w:ascii="方正仿宋_GBK" w:hAnsi="方正仿宋_GBK" w:cs="方正仿宋_GBK"/>
          <w:b/>
        </w:rPr>
        <w:t xml:space="preserve">第八条 </w:t>
      </w:r>
      <w:r>
        <w:rPr>
          <w:rFonts w:hint="eastAsia" w:ascii="方正仿宋_GBK"/>
        </w:rPr>
        <w:t xml:space="preserve"> 施工合同金额或预算金额在50万元以上至400万元（不含400万元）以下的施工类项目以及经上级机关批准的竞争性比选项目，严格按照区相关规定采取竞争性比选方式确定施工单位。经财政评审后，由乡领导班子确定最高限价。竞争性比选办法按照区发展改革委会及区城乡建委等行政监督部门制定的办法执行。</w:t>
      </w:r>
    </w:p>
    <w:p>
      <w:pPr>
        <w:spacing w:line="540" w:lineRule="exact"/>
        <w:ind w:firstLine="620" w:firstLineChars="196"/>
        <w:rPr>
          <w:rFonts w:ascii="方正仿宋_GBK"/>
        </w:rPr>
      </w:pPr>
      <w:r>
        <w:rPr>
          <w:rFonts w:hint="eastAsia" w:ascii="方正仿宋_GBK"/>
        </w:rPr>
        <w:t>施工合同金额或预算金额在400万元及以上的施工类项目，必须采取公开招标的方式确定施工单位。符合上级规定可以进行邀请招标的特殊项目，请示上级主管部门同意后，可实行邀请招标。招标项目经财政评审后，由乡领导班子确定最高限价。招标办法严格按照《招标投标法》及区上相关规定执行。</w:t>
      </w:r>
    </w:p>
    <w:p>
      <w:pPr>
        <w:spacing w:line="540" w:lineRule="exact"/>
        <w:ind w:firstLine="620" w:firstLineChars="196"/>
        <w:rPr>
          <w:rFonts w:ascii="方正仿宋_GBK"/>
        </w:rPr>
      </w:pPr>
      <w:r>
        <w:rPr>
          <w:rFonts w:hint="eastAsia" w:ascii="方正仿宋_GBK"/>
        </w:rPr>
        <w:t>法律、法规、规章、国家政策性调整及市、区另有规定的，从其规定。</w:t>
      </w:r>
    </w:p>
    <w:p>
      <w:pPr>
        <w:spacing w:line="540" w:lineRule="exact"/>
        <w:jc w:val="center"/>
        <w:rPr>
          <w:rFonts w:hint="eastAsia" w:ascii="方正楷体_GBK" w:hAnsi="方正楷体_GBK" w:eastAsia="方正楷体_GBK" w:cs="方正楷体_GBK"/>
          <w:bCs/>
        </w:rPr>
      </w:pPr>
      <w:r>
        <w:rPr>
          <w:rFonts w:hint="eastAsia" w:ascii="方正楷体_GBK" w:hAnsi="方正楷体_GBK" w:eastAsia="方正楷体_GBK" w:cs="方正楷体_GBK"/>
          <w:bCs/>
        </w:rPr>
        <w:t>（二）中介服务机构类项目</w:t>
      </w:r>
    </w:p>
    <w:p>
      <w:pPr>
        <w:spacing w:line="540" w:lineRule="exact"/>
        <w:ind w:firstLine="620" w:firstLineChars="196"/>
        <w:rPr>
          <w:rFonts w:ascii="方正仿宋_GBK"/>
        </w:rPr>
      </w:pPr>
      <w:r>
        <w:rPr>
          <w:rFonts w:hint="eastAsia" w:ascii="方正仿宋_GBK" w:hAnsi="方正仿宋_GBK" w:cs="方正仿宋_GBK"/>
          <w:b/>
        </w:rPr>
        <w:t xml:space="preserve">第九条 </w:t>
      </w:r>
      <w:r>
        <w:rPr>
          <w:rFonts w:hint="eastAsia" w:ascii="方正仿宋_GBK"/>
        </w:rPr>
        <w:t xml:space="preserve"> 中介服务机构招标主要类别：</w:t>
      </w:r>
      <w:r>
        <w:rPr>
          <w:rFonts w:ascii="方正仿宋_GBK"/>
        </w:rPr>
        <w:t xml:space="preserve"> </w:t>
      </w:r>
    </w:p>
    <w:p>
      <w:pPr>
        <w:spacing w:line="540" w:lineRule="exact"/>
        <w:ind w:firstLine="620" w:firstLineChars="196"/>
        <w:rPr>
          <w:rFonts w:ascii="方正仿宋_GBK"/>
        </w:rPr>
      </w:pPr>
      <w:r>
        <w:rPr>
          <w:rFonts w:hint="eastAsia" w:ascii="方正仿宋_GBK"/>
        </w:rPr>
        <w:t>1.土地测绘、房屋测绘机构；</w:t>
      </w:r>
    </w:p>
    <w:p>
      <w:pPr>
        <w:spacing w:line="540" w:lineRule="exact"/>
        <w:ind w:firstLine="620" w:firstLineChars="196"/>
        <w:rPr>
          <w:rFonts w:ascii="方正仿宋_GBK"/>
        </w:rPr>
      </w:pPr>
      <w:r>
        <w:rPr>
          <w:rFonts w:hint="eastAsia" w:ascii="方正仿宋_GBK"/>
        </w:rPr>
        <w:t>2.地质勘察机构；</w:t>
      </w:r>
    </w:p>
    <w:p>
      <w:pPr>
        <w:spacing w:line="540" w:lineRule="exact"/>
        <w:ind w:firstLine="620" w:firstLineChars="196"/>
        <w:rPr>
          <w:rFonts w:ascii="方正仿宋_GBK"/>
        </w:rPr>
      </w:pPr>
      <w:r>
        <w:rPr>
          <w:rFonts w:hint="eastAsia" w:ascii="方正仿宋_GBK"/>
        </w:rPr>
        <w:t>3.涉河建设方案及防洪评价、水土保持方案编制及水土保持方案专项验收技术评估；</w:t>
      </w:r>
    </w:p>
    <w:p>
      <w:pPr>
        <w:spacing w:line="540" w:lineRule="exact"/>
        <w:ind w:firstLine="620" w:firstLineChars="196"/>
        <w:rPr>
          <w:rFonts w:ascii="方正仿宋_GBK"/>
        </w:rPr>
      </w:pPr>
      <w:r>
        <w:rPr>
          <w:rFonts w:hint="eastAsia" w:ascii="方正仿宋_GBK"/>
        </w:rPr>
        <w:t>4.建设项目环境影响评价报告书（表）编制机构；</w:t>
      </w:r>
    </w:p>
    <w:p>
      <w:pPr>
        <w:spacing w:line="540" w:lineRule="exact"/>
        <w:ind w:firstLine="620" w:firstLineChars="196"/>
        <w:rPr>
          <w:rFonts w:ascii="方正仿宋_GBK"/>
        </w:rPr>
      </w:pPr>
      <w:r>
        <w:rPr>
          <w:rFonts w:hint="eastAsia" w:ascii="方正仿宋_GBK"/>
        </w:rPr>
        <w:t>5.项目建议书及可行性研究报告编制、评估机构；</w:t>
      </w:r>
    </w:p>
    <w:p>
      <w:pPr>
        <w:spacing w:line="540" w:lineRule="exact"/>
        <w:ind w:firstLine="620" w:firstLineChars="196"/>
        <w:rPr>
          <w:rFonts w:ascii="方正仿宋_GBK"/>
        </w:rPr>
      </w:pPr>
      <w:r>
        <w:rPr>
          <w:rFonts w:hint="eastAsia" w:ascii="方正仿宋_GBK"/>
        </w:rPr>
        <w:t>6.方案设计、初步设计、施工图设计和施工图审查报告编制机构；</w:t>
      </w:r>
    </w:p>
    <w:p>
      <w:pPr>
        <w:spacing w:line="540" w:lineRule="exact"/>
        <w:ind w:firstLine="620" w:firstLineChars="196"/>
        <w:rPr>
          <w:rFonts w:ascii="方正仿宋_GBK"/>
        </w:rPr>
      </w:pPr>
      <w:r>
        <w:rPr>
          <w:rFonts w:hint="eastAsia" w:ascii="方正仿宋_GBK"/>
        </w:rPr>
        <w:t>7.概算编制及评审机构；</w:t>
      </w:r>
    </w:p>
    <w:p>
      <w:pPr>
        <w:spacing w:line="540" w:lineRule="exact"/>
        <w:ind w:firstLine="620" w:firstLineChars="196"/>
        <w:rPr>
          <w:rFonts w:ascii="方正仿宋_GBK"/>
        </w:rPr>
      </w:pPr>
      <w:r>
        <w:rPr>
          <w:rFonts w:hint="eastAsia" w:ascii="方正仿宋_GBK"/>
        </w:rPr>
        <w:t>8.预算（招标控制价、工程量清单）编制及评审机构；</w:t>
      </w:r>
    </w:p>
    <w:p>
      <w:pPr>
        <w:spacing w:line="540" w:lineRule="exact"/>
        <w:ind w:firstLine="620" w:firstLineChars="196"/>
        <w:rPr>
          <w:rFonts w:ascii="方正仿宋_GBK"/>
        </w:rPr>
      </w:pPr>
      <w:r>
        <w:rPr>
          <w:rFonts w:hint="eastAsia" w:ascii="方正仿宋_GBK"/>
        </w:rPr>
        <w:t>9.项目结（决）算、全过程跟踪审计机构；</w:t>
      </w:r>
    </w:p>
    <w:p>
      <w:pPr>
        <w:spacing w:line="540" w:lineRule="exact"/>
        <w:ind w:firstLine="620" w:firstLineChars="196"/>
        <w:rPr>
          <w:rFonts w:ascii="方正仿宋_GBK"/>
        </w:rPr>
      </w:pPr>
      <w:r>
        <w:rPr>
          <w:rFonts w:hint="eastAsia" w:ascii="方正仿宋_GBK"/>
        </w:rPr>
        <w:t>10.工程监理机构；</w:t>
      </w:r>
    </w:p>
    <w:p>
      <w:pPr>
        <w:spacing w:line="540" w:lineRule="exact"/>
        <w:ind w:firstLine="620" w:firstLineChars="196"/>
        <w:rPr>
          <w:rFonts w:ascii="方正仿宋_GBK"/>
        </w:rPr>
      </w:pPr>
      <w:r>
        <w:rPr>
          <w:rFonts w:hint="eastAsia" w:ascii="方正仿宋_GBK"/>
        </w:rPr>
        <w:t>11.会计、审计事务机构；</w:t>
      </w:r>
    </w:p>
    <w:p>
      <w:pPr>
        <w:spacing w:line="540" w:lineRule="exact"/>
        <w:ind w:firstLine="620" w:firstLineChars="196"/>
        <w:rPr>
          <w:rFonts w:ascii="方正仿宋_GBK"/>
        </w:rPr>
      </w:pPr>
      <w:r>
        <w:rPr>
          <w:rFonts w:hint="eastAsia" w:ascii="方正仿宋_GBK"/>
        </w:rPr>
        <w:t>12.资产评估机构；</w:t>
      </w:r>
    </w:p>
    <w:p>
      <w:pPr>
        <w:spacing w:line="540" w:lineRule="exact"/>
        <w:ind w:firstLine="620" w:firstLineChars="196"/>
        <w:rPr>
          <w:rFonts w:ascii="方正仿宋_GBK"/>
        </w:rPr>
      </w:pPr>
      <w:r>
        <w:rPr>
          <w:rFonts w:hint="eastAsia" w:ascii="方正仿宋_GBK"/>
        </w:rPr>
        <w:t>13.工程招标代理机构；</w:t>
      </w:r>
    </w:p>
    <w:p>
      <w:pPr>
        <w:spacing w:line="540" w:lineRule="exact"/>
        <w:ind w:firstLine="620" w:firstLineChars="196"/>
        <w:rPr>
          <w:rFonts w:ascii="方正仿宋_GBK"/>
        </w:rPr>
      </w:pPr>
      <w:r>
        <w:rPr>
          <w:rFonts w:hint="eastAsia" w:ascii="方正仿宋_GBK"/>
        </w:rPr>
        <w:t>14.国土资源、城乡规划、农业、林业等其他为政府投资项目提供专业服务的中介机构。</w:t>
      </w:r>
    </w:p>
    <w:p>
      <w:pPr>
        <w:spacing w:line="540" w:lineRule="exact"/>
        <w:ind w:firstLine="620" w:firstLineChars="196"/>
      </w:pPr>
      <w:r>
        <w:rPr>
          <w:rFonts w:hint="eastAsia" w:ascii="方正仿宋_GBK" w:hAnsi="方正仿宋_GBK" w:cs="方正仿宋_GBK"/>
          <w:b/>
        </w:rPr>
        <w:t xml:space="preserve">第十条 </w:t>
      </w:r>
      <w:r>
        <w:rPr>
          <w:rFonts w:hint="eastAsia" w:ascii="方正仿宋_GBK"/>
        </w:rPr>
        <w:t xml:space="preserve"> 涪陵区大木乡所有项目中介服务机构选取方式均严格按照区政府《重庆市涪陵区人民政府关于印发重庆市涪陵区政府投资项目中介服务机构库管理办法的通知》（涪陵府发〔2017〕63号）、涪陵区相关行政部门对各行业分库制定的管理文件等</w:t>
      </w:r>
      <w:r>
        <w:rPr>
          <w:rFonts w:hint="eastAsia"/>
        </w:rPr>
        <w:t>相关规定执行。</w:t>
      </w:r>
    </w:p>
    <w:p>
      <w:pPr>
        <w:spacing w:line="540" w:lineRule="exact"/>
        <w:ind w:firstLine="620" w:firstLineChars="196"/>
        <w:rPr>
          <w:rFonts w:ascii="方正仿宋_GBK"/>
        </w:rPr>
      </w:pPr>
      <w:r>
        <w:rPr>
          <w:rFonts w:hint="eastAsia" w:ascii="方正仿宋_GBK"/>
        </w:rPr>
        <w:t>法律、法规、规章、国家政策性调整及市、区另有规定的，从其规定。</w:t>
      </w:r>
    </w:p>
    <w:p>
      <w:pPr>
        <w:spacing w:line="540" w:lineRule="exact"/>
        <w:ind w:firstLine="620" w:firstLineChars="196"/>
        <w:rPr>
          <w:rFonts w:ascii="方正仿宋_GBK"/>
        </w:rPr>
      </w:pPr>
      <w:r>
        <w:rPr>
          <w:rFonts w:hint="eastAsia" w:ascii="方正仿宋_GBK" w:hAnsi="方正仿宋_GBK" w:cs="方正仿宋_GBK"/>
          <w:b/>
        </w:rPr>
        <w:t xml:space="preserve">第十一条 </w:t>
      </w:r>
      <w:r>
        <w:rPr>
          <w:rFonts w:hint="eastAsia" w:ascii="方正楷体_GBK" w:eastAsia="方正楷体_GBK"/>
          <w:b/>
        </w:rPr>
        <w:t xml:space="preserve"> </w:t>
      </w:r>
      <w:r>
        <w:rPr>
          <w:rFonts w:hint="eastAsia"/>
        </w:rPr>
        <w:t>对依法必须进行招标的工程建设施工类项目，需选取招标代理机构的，经乡领导班子确定招标代理机构选取方式后，乡招标办、业务主管部门在建立的工程招标代理机构库中随机抽取1家单位，或者面向社会公开招标3家单位进行竞争性比选，择优确定工程招标代理机构。</w:t>
      </w:r>
    </w:p>
    <w:p>
      <w:pPr>
        <w:spacing w:line="540" w:lineRule="exact"/>
        <w:jc w:val="center"/>
        <w:rPr>
          <w:rFonts w:ascii="方正黑体_GBK" w:eastAsia="方正黑体_GBK"/>
          <w:b/>
          <w:bCs/>
        </w:rPr>
      </w:pPr>
      <w:r>
        <w:rPr>
          <w:rFonts w:hint="eastAsia" w:ascii="方正黑体_GBK" w:eastAsia="方正黑体_GBK"/>
        </w:rPr>
        <w:t>第三章  工程建设施工类项目的招标投标管理</w:t>
      </w:r>
    </w:p>
    <w:p>
      <w:pPr>
        <w:spacing w:line="540" w:lineRule="exact"/>
        <w:ind w:firstLine="632" w:firstLineChars="200"/>
        <w:rPr>
          <w:rFonts w:hint="eastAsia" w:ascii="方正仿宋_GBK" w:hAnsi="方正仿宋_GBK" w:cs="方正仿宋_GBK"/>
          <w:b/>
        </w:rPr>
      </w:pPr>
      <w:r>
        <w:rPr>
          <w:rFonts w:hint="eastAsia" w:ascii="方正仿宋_GBK" w:hAnsi="方正仿宋_GBK" w:cs="方正仿宋_GBK"/>
          <w:b/>
        </w:rPr>
        <w:t>第十二条  项目招标</w:t>
      </w:r>
    </w:p>
    <w:p>
      <w:pPr>
        <w:spacing w:line="540" w:lineRule="exact"/>
        <w:ind w:firstLine="620" w:firstLineChars="196"/>
        <w:rPr>
          <w:rFonts w:ascii="方正仿宋_GBK"/>
        </w:rPr>
      </w:pPr>
      <w:r>
        <w:rPr>
          <w:rFonts w:hint="eastAsia" w:ascii="方正仿宋_GBK"/>
        </w:rPr>
        <w:t>1.乡项目业务主管部门负责开标前的规划设计、投资概算、资金评审等工作，在此期间，涉及相关中介服务机构选取的，严格按照本管理办法有关规定执行。在明确资金来源、完成项目立项、施工图审查、财政评审等前期工作后，负责编制项目招标文件。</w:t>
      </w:r>
      <w:r>
        <w:rPr>
          <w:rFonts w:hint="eastAsia" w:ascii="方正楷体_GBK" w:eastAsia="方正楷体_GBK"/>
          <w:b/>
          <w:bCs/>
        </w:rPr>
        <w:t xml:space="preserve">  </w:t>
      </w:r>
    </w:p>
    <w:p>
      <w:pPr>
        <w:spacing w:line="540" w:lineRule="exact"/>
        <w:ind w:firstLine="632" w:firstLineChars="200"/>
        <w:rPr>
          <w:rFonts w:ascii="方正仿宋_GBK"/>
        </w:rPr>
      </w:pPr>
      <w:r>
        <w:rPr>
          <w:rFonts w:hint="eastAsia" w:ascii="方正仿宋_GBK"/>
        </w:rPr>
        <w:t>2.乡项目业务主管部门应将工程项目招标文件提交乡招标办初审；乡招标办初审后提交乡长办公会进行审查；审查结束后，招标文件由各相关乡领导、相关部门负责人联审联签。</w:t>
      </w:r>
    </w:p>
    <w:p>
      <w:pPr>
        <w:spacing w:line="540" w:lineRule="exact"/>
        <w:ind w:firstLine="632" w:firstLineChars="200"/>
        <w:rPr>
          <w:rFonts w:ascii="方正仿宋_GBK"/>
        </w:rPr>
      </w:pPr>
      <w:r>
        <w:rPr>
          <w:rFonts w:hint="eastAsia" w:ascii="方正仿宋_GBK"/>
        </w:rPr>
        <w:t>3. 50万元（含50万元）及以上的工程项目招标文件联审联签后，按照上级规定报涪陵区有关行政监督部门办理招标备案手续，并按程序在区交易中心完成招标。</w:t>
      </w:r>
    </w:p>
    <w:p>
      <w:pPr>
        <w:spacing w:line="540" w:lineRule="exact"/>
        <w:ind w:firstLine="632" w:firstLineChars="200"/>
        <w:rPr>
          <w:rFonts w:ascii="方正仿宋_GBK"/>
        </w:rPr>
      </w:pPr>
      <w:r>
        <w:rPr>
          <w:rFonts w:hint="eastAsia" w:ascii="方正仿宋_GBK"/>
        </w:rPr>
        <w:t>4.50万元以下的工程项目招标文件完成联审联签后，乡招标办工作人员在2个工作日内完成备案工作，并及时发布招标文件和招标公告，公告公布时间不得少于3日。</w:t>
      </w:r>
    </w:p>
    <w:p>
      <w:pPr>
        <w:spacing w:line="540" w:lineRule="exact"/>
        <w:ind w:firstLine="632" w:firstLineChars="200"/>
        <w:rPr>
          <w:rFonts w:ascii="方正仿宋_GBK"/>
        </w:rPr>
      </w:pPr>
      <w:r>
        <w:rPr>
          <w:rFonts w:hint="eastAsia" w:ascii="方正仿宋_GBK"/>
        </w:rPr>
        <w:t>5.招标单位相关工作人员不得向他人透露已获取招标文件投标人的名称、数量以及可能影响公平竞争的有关招标投标的其他情况，招标单位设有标底的，标底必须保密。</w:t>
      </w:r>
    </w:p>
    <w:p>
      <w:pPr>
        <w:spacing w:line="540" w:lineRule="exact"/>
        <w:ind w:firstLine="632" w:firstLineChars="200"/>
        <w:rPr>
          <w:rFonts w:hint="eastAsia" w:ascii="方正仿宋_GBK" w:hAnsi="方正仿宋_GBK" w:cs="方正仿宋_GBK"/>
          <w:b/>
        </w:rPr>
      </w:pPr>
      <w:r>
        <w:rPr>
          <w:rFonts w:hint="eastAsia" w:ascii="方正仿宋_GBK" w:hAnsi="方正仿宋_GBK" w:cs="方正仿宋_GBK"/>
          <w:b/>
        </w:rPr>
        <w:t>第十三条  项目投标（适用于本乡招标的项目）</w:t>
      </w:r>
    </w:p>
    <w:p>
      <w:pPr>
        <w:spacing w:line="540" w:lineRule="exact"/>
        <w:ind w:firstLine="549"/>
        <w:rPr>
          <w:rFonts w:ascii="方正仿宋_GBK"/>
        </w:rPr>
      </w:pPr>
      <w:r>
        <w:rPr>
          <w:rFonts w:hint="eastAsia" w:ascii="方正楷体_GBK" w:eastAsia="方正楷体_GBK"/>
        </w:rPr>
        <w:t>1.</w:t>
      </w:r>
      <w:r>
        <w:rPr>
          <w:rFonts w:hint="eastAsia" w:ascii="方正仿宋_GBK"/>
        </w:rPr>
        <w:t>投标人是响应招标、参加投标竞争的法人或者其他组织。投标人应当具备承担招标项目的能力；招标文件对投标人资格条件有规定的，投标人应当具备规定的资格条件。</w:t>
      </w:r>
    </w:p>
    <w:p>
      <w:pPr>
        <w:spacing w:line="540" w:lineRule="exact"/>
        <w:ind w:firstLine="549"/>
        <w:rPr>
          <w:rFonts w:ascii="方正仿宋_GBK"/>
        </w:rPr>
      </w:pPr>
      <w:r>
        <w:rPr>
          <w:rFonts w:hint="eastAsia" w:ascii="方正楷体_GBK" w:eastAsia="方正楷体_GBK"/>
        </w:rPr>
        <w:t>2.</w:t>
      </w:r>
      <w:r>
        <w:rPr>
          <w:rFonts w:hint="eastAsia" w:ascii="方正仿宋_GBK"/>
        </w:rPr>
        <w:t>投标人应当按照招标文件的要求编制投标文件。投标文件应当对招标文件提出的实质性要求和条件作出响应。招标项目属于建设施工的，投标文件的内容应当包括拟派出的项目负责人与主要技术人员的简历、业绩和拟用于完成招标项目的机械设备等。</w:t>
      </w:r>
    </w:p>
    <w:p>
      <w:pPr>
        <w:spacing w:line="540" w:lineRule="exact"/>
        <w:ind w:firstLine="549"/>
        <w:rPr>
          <w:rFonts w:ascii="方正仿宋_GBK"/>
        </w:rPr>
      </w:pPr>
      <w:r>
        <w:rPr>
          <w:rFonts w:hint="eastAsia" w:ascii="方正楷体_GBK" w:eastAsia="方正楷体_GBK"/>
          <w:b/>
        </w:rPr>
        <w:t>3.</w:t>
      </w:r>
      <w:r>
        <w:rPr>
          <w:rFonts w:hint="eastAsia" w:ascii="方正仿宋_GBK"/>
        </w:rPr>
        <w:t>投标人应当在招标文件要求提交投标文件的截止时间前，将投标文件送达投标地点。</w:t>
      </w:r>
    </w:p>
    <w:p>
      <w:pPr>
        <w:spacing w:line="540" w:lineRule="exact"/>
        <w:ind w:firstLine="549"/>
        <w:rPr>
          <w:rFonts w:ascii="方正仿宋_GBK"/>
        </w:rPr>
      </w:pPr>
      <w:r>
        <w:rPr>
          <w:rFonts w:hint="eastAsia" w:ascii="方正仿宋_GBK"/>
        </w:rPr>
        <w:t>在招标文件要求提交投标文件的截止时间后送达的投标文件，招标人应当拒收。</w:t>
      </w:r>
    </w:p>
    <w:p>
      <w:pPr>
        <w:spacing w:line="540" w:lineRule="exact"/>
        <w:ind w:firstLine="549"/>
        <w:rPr>
          <w:rFonts w:ascii="方正仿宋_GBK"/>
        </w:rPr>
      </w:pPr>
      <w:r>
        <w:rPr>
          <w:rFonts w:hint="eastAsia" w:ascii="方正楷体_GBK" w:eastAsia="方正楷体_GBK"/>
        </w:rPr>
        <w:t>4.</w:t>
      </w:r>
      <w:r>
        <w:rPr>
          <w:rFonts w:hint="eastAsia" w:ascii="方正仿宋_GBK"/>
        </w:rPr>
        <w:t>投标人在招标文件要求提交投标文件的截止时间前，可以补充、修改或者撤回已提交的投标文件，并书面通知招标人。补充、修改的内容为投标文件的组成部分。</w:t>
      </w:r>
    </w:p>
    <w:p>
      <w:pPr>
        <w:spacing w:line="540" w:lineRule="exact"/>
        <w:ind w:firstLine="549"/>
        <w:rPr>
          <w:rFonts w:ascii="方正仿宋_GBK"/>
        </w:rPr>
      </w:pPr>
      <w:r>
        <w:rPr>
          <w:rFonts w:hint="eastAsia" w:ascii="方正楷体_GBK" w:eastAsia="方正楷体_GBK"/>
        </w:rPr>
        <w:t>5.</w:t>
      </w:r>
      <w:r>
        <w:rPr>
          <w:rFonts w:hint="eastAsia" w:ascii="方正仿宋_GBK"/>
        </w:rPr>
        <w:t>投标人不得相互串通投标报价，不得排挤其他投标人的公平竞争，损害招标人或者其他投标人的合法权益。投标人不得与招标人串通投标，损害国家利益、社会公共利益或者他人的合法权益。</w:t>
      </w:r>
    </w:p>
    <w:p>
      <w:pPr>
        <w:spacing w:line="540" w:lineRule="exact"/>
        <w:ind w:firstLine="549"/>
        <w:rPr>
          <w:rFonts w:ascii="方正仿宋_GBK"/>
        </w:rPr>
      </w:pPr>
      <w:r>
        <w:rPr>
          <w:rFonts w:hint="eastAsia" w:ascii="方正楷体_GBK" w:eastAsia="方正楷体_GBK"/>
        </w:rPr>
        <w:t>6.</w:t>
      </w:r>
      <w:r>
        <w:rPr>
          <w:rFonts w:hint="eastAsia" w:ascii="方正仿宋_GBK"/>
        </w:rPr>
        <w:t>投标人不得以低于成本的报价竞标，也不得以他人名义投标或者以其他方式弄虚作假，骗取中标。</w:t>
      </w:r>
    </w:p>
    <w:p>
      <w:pPr>
        <w:spacing w:line="540" w:lineRule="exact"/>
        <w:ind w:firstLine="632" w:firstLineChars="200"/>
        <w:rPr>
          <w:rFonts w:hint="eastAsia" w:ascii="方正仿宋_GBK" w:hAnsi="方正仿宋_GBK" w:cs="方正仿宋_GBK"/>
          <w:b/>
        </w:rPr>
      </w:pPr>
      <w:r>
        <w:rPr>
          <w:rFonts w:hint="eastAsia" w:ascii="方正仿宋_GBK" w:hAnsi="方正仿宋_GBK" w:cs="方正仿宋_GBK"/>
          <w:b/>
        </w:rPr>
        <w:t>第十四条  开标和定标（适用于本乡招标的项目）</w:t>
      </w:r>
    </w:p>
    <w:p>
      <w:pPr>
        <w:spacing w:line="540" w:lineRule="exact"/>
        <w:ind w:firstLine="538" w:firstLineChars="170"/>
        <w:rPr>
          <w:rFonts w:ascii="方正楷体_GBK" w:eastAsia="方正楷体_GBK"/>
        </w:rPr>
      </w:pPr>
      <w:r>
        <w:rPr>
          <w:rFonts w:hint="eastAsia" w:ascii="方正楷体_GBK" w:eastAsia="方正楷体_GBK"/>
        </w:rPr>
        <w:t>1.</w:t>
      </w:r>
      <w:r>
        <w:rPr>
          <w:rFonts w:hint="eastAsia" w:ascii="方正仿宋_GBK"/>
        </w:rPr>
        <w:t>开标应当在招标文件确定的提交投标文件截止时间的同一时间公开进行；开标由招标人主持，邀请所有投标人参加；开标地点应当为招标文件中预先确定的地点。</w:t>
      </w:r>
    </w:p>
    <w:p>
      <w:pPr>
        <w:spacing w:line="540" w:lineRule="exact"/>
        <w:ind w:firstLine="538" w:firstLineChars="170"/>
        <w:rPr>
          <w:rFonts w:ascii="方正仿宋_GBK"/>
        </w:rPr>
      </w:pPr>
      <w:r>
        <w:rPr>
          <w:rFonts w:hint="eastAsia" w:ascii="方正仿宋_GBK"/>
        </w:rPr>
        <w:t>2.开标时，由投标人或者其授权的代表检查投标文件的密封情况；经确认无误后，由工作人员当众拆封，宣读投标人名称、投标价格和投标文件的其他主要内容。招标人在招标文件要求提交投标文件的截止时间前收到的所有投标文件，开标时都应当众予以拆封、宣读，并详细记录开标过程，存档备查。</w:t>
      </w:r>
    </w:p>
    <w:p>
      <w:pPr>
        <w:spacing w:line="540" w:lineRule="exact"/>
        <w:ind w:firstLine="538" w:firstLineChars="170"/>
        <w:rPr>
          <w:rFonts w:ascii="方正仿宋_GBK"/>
        </w:rPr>
      </w:pPr>
      <w:r>
        <w:rPr>
          <w:rFonts w:hint="eastAsia" w:ascii="方正楷体_GBK" w:eastAsia="方正楷体_GBK"/>
        </w:rPr>
        <w:t>3.</w:t>
      </w:r>
      <w:r>
        <w:rPr>
          <w:rFonts w:hint="eastAsia" w:ascii="方正仿宋_GBK"/>
        </w:rPr>
        <w:t>中标人确定后，招标人应当向中标人发出中标通知书，中标通知书对招标人和中标人具有法律效力。中标通知书发出后，招标人改变中标结果的，或者中标人放弃中标项目的，应当依法承担法律责任。</w:t>
      </w:r>
    </w:p>
    <w:p>
      <w:pPr>
        <w:spacing w:line="540" w:lineRule="exact"/>
        <w:ind w:firstLine="538" w:firstLineChars="170"/>
        <w:rPr>
          <w:rFonts w:ascii="方正仿宋_GBK"/>
        </w:rPr>
      </w:pPr>
      <w:r>
        <w:rPr>
          <w:rFonts w:hint="eastAsia" w:ascii="方正楷体_GBK" w:eastAsia="方正楷体_GBK"/>
        </w:rPr>
        <w:t>4.</w:t>
      </w:r>
      <w:r>
        <w:rPr>
          <w:rFonts w:hint="eastAsia" w:ascii="方正仿宋_GBK"/>
        </w:rPr>
        <w:t>招标人和中标人应当自中标通知书发出之日起5个工作日内，按照招标文件和中标人的投标文件订立书面合同。招标人和中标人不得再行订立背离合同实质性内容的其他协议。招标文件要求中标人提交履约保证金的，中标人应当提交。</w:t>
      </w:r>
    </w:p>
    <w:p>
      <w:pPr>
        <w:spacing w:line="540" w:lineRule="exact"/>
        <w:ind w:firstLine="538" w:firstLineChars="170"/>
        <w:rPr>
          <w:rFonts w:ascii="方正仿宋_GBK"/>
        </w:rPr>
      </w:pPr>
      <w:r>
        <w:rPr>
          <w:rFonts w:hint="eastAsia" w:ascii="方正楷体_GBK" w:eastAsia="方正楷体_GBK"/>
        </w:rPr>
        <w:t>5.</w:t>
      </w:r>
      <w:r>
        <w:rPr>
          <w:rFonts w:hint="eastAsia" w:ascii="方正仿宋_GBK"/>
        </w:rPr>
        <w:t>中标人应当按照合同约定履行义务，完成中标项目。中标人不得向他人转让中标项目，也不得将中标项目分解后分别向他人转让。</w:t>
      </w:r>
    </w:p>
    <w:p>
      <w:pPr>
        <w:spacing w:line="540" w:lineRule="exact"/>
        <w:ind w:firstLine="538" w:firstLineChars="170"/>
        <w:rPr>
          <w:rFonts w:ascii="方正仿宋_GBK"/>
        </w:rPr>
      </w:pPr>
      <w:r>
        <w:rPr>
          <w:rFonts w:hint="eastAsia" w:ascii="方正楷体_GBK" w:eastAsia="方正楷体_GBK"/>
        </w:rPr>
        <w:t>6.</w:t>
      </w:r>
      <w:r>
        <w:rPr>
          <w:rFonts w:hint="eastAsia" w:ascii="方正仿宋_GBK"/>
        </w:rPr>
        <w:t>投</w:t>
      </w:r>
      <w:r>
        <w:rPr>
          <w:rFonts w:hint="eastAsia" w:ascii="方正仿宋_GBK"/>
          <w:bCs/>
        </w:rPr>
        <w:t>标</w:t>
      </w:r>
      <w:r>
        <w:rPr>
          <w:rFonts w:hint="eastAsia" w:ascii="方正仿宋_GBK"/>
        </w:rPr>
        <w:t>人的投标应当符合下列条件之一：</w:t>
      </w:r>
    </w:p>
    <w:p>
      <w:pPr>
        <w:spacing w:line="540" w:lineRule="exact"/>
        <w:ind w:firstLine="538" w:firstLineChars="170"/>
        <w:rPr>
          <w:rFonts w:ascii="方正仿宋_GBK"/>
        </w:rPr>
      </w:pPr>
      <w:r>
        <w:rPr>
          <w:rFonts w:ascii="方正仿宋_GBK"/>
        </w:rPr>
        <w:fldChar w:fldCharType="begin"/>
      </w:r>
      <w:r>
        <w:rPr>
          <w:rFonts w:ascii="方正仿宋_GBK"/>
        </w:rPr>
        <w:instrText xml:space="preserve"> </w:instrText>
      </w:r>
      <w:r>
        <w:rPr>
          <w:rFonts w:hint="eastAsia" w:ascii="方正仿宋_GBK"/>
        </w:rPr>
        <w:instrText xml:space="preserve">= 1 \* GB3</w:instrText>
      </w:r>
      <w:r>
        <w:rPr>
          <w:rFonts w:ascii="方正仿宋_GBK"/>
        </w:rPr>
        <w:instrText xml:space="preserve"> </w:instrText>
      </w:r>
      <w:r>
        <w:rPr>
          <w:rFonts w:ascii="方正仿宋_GBK"/>
        </w:rPr>
        <w:fldChar w:fldCharType="separate"/>
      </w:r>
      <w:r>
        <w:rPr>
          <w:rFonts w:hint="eastAsia" w:ascii="方正仿宋_GBK"/>
        </w:rPr>
        <w:t>①</w:t>
      </w:r>
      <w:r>
        <w:rPr>
          <w:rFonts w:ascii="方正仿宋_GBK"/>
        </w:rPr>
        <w:fldChar w:fldCharType="end"/>
      </w:r>
      <w:r>
        <w:rPr>
          <w:rFonts w:hint="eastAsia" w:ascii="方正仿宋_GBK"/>
        </w:rPr>
        <w:t>能够最大限度地满足招标文件中规定的各项综合评价标准；</w:t>
      </w:r>
      <w:r>
        <w:rPr>
          <w:rFonts w:ascii="方正仿宋_GBK"/>
        </w:rPr>
        <w:fldChar w:fldCharType="begin"/>
      </w:r>
      <w:r>
        <w:rPr>
          <w:rFonts w:ascii="方正仿宋_GBK"/>
        </w:rPr>
        <w:instrText xml:space="preserve"> </w:instrText>
      </w:r>
      <w:r>
        <w:rPr>
          <w:rFonts w:hint="eastAsia" w:ascii="方正仿宋_GBK"/>
        </w:rPr>
        <w:instrText xml:space="preserve">= 2 \* GB3</w:instrText>
      </w:r>
      <w:r>
        <w:rPr>
          <w:rFonts w:ascii="方正仿宋_GBK"/>
        </w:rPr>
        <w:instrText xml:space="preserve"> </w:instrText>
      </w:r>
      <w:r>
        <w:rPr>
          <w:rFonts w:ascii="方正仿宋_GBK"/>
        </w:rPr>
        <w:fldChar w:fldCharType="separate"/>
      </w:r>
      <w:r>
        <w:rPr>
          <w:rFonts w:hint="eastAsia" w:ascii="方正仿宋_GBK"/>
        </w:rPr>
        <w:t>②</w:t>
      </w:r>
      <w:r>
        <w:rPr>
          <w:rFonts w:ascii="方正仿宋_GBK"/>
        </w:rPr>
        <w:fldChar w:fldCharType="end"/>
      </w:r>
      <w:r>
        <w:rPr>
          <w:rFonts w:hint="eastAsia" w:ascii="方正仿宋_GBK"/>
        </w:rPr>
        <w:t>能够满足招标文件的实质性要求。投标价格不得低于成本。</w:t>
      </w:r>
    </w:p>
    <w:p>
      <w:pPr>
        <w:spacing w:line="540" w:lineRule="exact"/>
        <w:ind w:firstLine="538" w:firstLineChars="170"/>
        <w:rPr>
          <w:rFonts w:ascii="方正仿宋_GBK"/>
        </w:rPr>
      </w:pPr>
      <w:r>
        <w:rPr>
          <w:rFonts w:hint="eastAsia" w:ascii="方正楷体_GBK" w:eastAsia="方正楷体_GBK"/>
        </w:rPr>
        <w:t>7.</w:t>
      </w:r>
      <w:r>
        <w:rPr>
          <w:rFonts w:hint="eastAsia" w:ascii="方正仿宋_GBK"/>
        </w:rPr>
        <w:t>与投标人有利害关系的人员不得参与相关项目的招标工作，已经参与的人员应当更换。在确定中标人前，招标人不得与投标人就投标价格、投标方案等实质性内容进行谈判。</w:t>
      </w:r>
    </w:p>
    <w:p>
      <w:pPr>
        <w:spacing w:line="540" w:lineRule="exact"/>
        <w:ind w:firstLine="538" w:firstLineChars="170"/>
        <w:rPr>
          <w:rFonts w:ascii="方正仿宋_GBK"/>
        </w:rPr>
      </w:pPr>
      <w:r>
        <w:rPr>
          <w:rFonts w:hint="eastAsia" w:ascii="方正楷体_GBK" w:eastAsia="方正楷体_GBK"/>
        </w:rPr>
        <w:t>8.</w:t>
      </w:r>
      <w:r>
        <w:rPr>
          <w:rFonts w:hint="eastAsia" w:ascii="方正仿宋_GBK"/>
        </w:rPr>
        <w:t>招标人应当采取必要的措施，保证评标在严格保密的情况下进行。任何单位和个人不得非法干预、影响评标的过程和结果。</w:t>
      </w:r>
    </w:p>
    <w:p>
      <w:pPr>
        <w:spacing w:line="540" w:lineRule="exact"/>
        <w:ind w:firstLine="538" w:firstLineChars="170"/>
        <w:rPr>
          <w:rFonts w:ascii="方正仿宋_GBK"/>
        </w:rPr>
      </w:pPr>
      <w:r>
        <w:rPr>
          <w:rFonts w:hint="eastAsia" w:ascii="方正楷体_GBK" w:eastAsia="方正楷体_GBK"/>
        </w:rPr>
        <w:t>9.</w:t>
      </w:r>
      <w:r>
        <w:rPr>
          <w:rFonts w:hint="eastAsia" w:ascii="方正仿宋_GBK"/>
        </w:rPr>
        <w:t xml:space="preserve">招标工作组组长由乡领导班子成员担任，各监督部门（纪委、人大办、财政办）、各业务主管部门工作人员和招标办人员担任招标工作组组员。在开标时，在乡领导班子成员中明确组长1名，监督部门、业务部门中各明确1名监督人员，招标办明确工作人员2名。 </w:t>
      </w:r>
    </w:p>
    <w:p>
      <w:pPr>
        <w:spacing w:line="540" w:lineRule="exact"/>
        <w:ind w:firstLine="538" w:firstLineChars="170"/>
        <w:rPr>
          <w:rFonts w:ascii="方正仿宋_GBK"/>
        </w:rPr>
      </w:pPr>
      <w:r>
        <w:rPr>
          <w:rFonts w:hint="eastAsia" w:ascii="方正楷体_GBK" w:eastAsia="方正楷体_GBK"/>
        </w:rPr>
        <w:t>10.</w:t>
      </w:r>
      <w:r>
        <w:rPr>
          <w:rFonts w:hint="eastAsia" w:ascii="方正仿宋_GBK"/>
        </w:rPr>
        <w:t>招标工作组可以要求投标人对投标文件中含义不明确的内容作必要的澄清或者说明，但是澄清或者说明不得超出投标文件的范围或者改变投标文件的实质性内容。</w:t>
      </w:r>
    </w:p>
    <w:p>
      <w:pPr>
        <w:spacing w:line="540" w:lineRule="exact"/>
        <w:ind w:firstLine="538" w:firstLineChars="170"/>
        <w:rPr>
          <w:rFonts w:ascii="方正仿宋_GBK"/>
        </w:rPr>
      </w:pPr>
      <w:r>
        <w:rPr>
          <w:rFonts w:hint="eastAsia" w:ascii="方正楷体_GBK" w:eastAsia="方正楷体_GBK"/>
        </w:rPr>
        <w:t>11.</w:t>
      </w:r>
      <w:r>
        <w:rPr>
          <w:rFonts w:hint="eastAsia" w:ascii="方正仿宋_GBK"/>
        </w:rPr>
        <w:t>招标工作组应当客观、公正地履行职务，遵守职业道德，对所提出的评审意见承担个人责任。招标工作组人员不得私下接触投标人，不得收受投标人的财物或者其他好处。招标工作组人员不得透露投标文件的评审、比较情况，不得透露对中标候选人的推荐情况以及与评标有关的其他情况。</w:t>
      </w:r>
    </w:p>
    <w:p>
      <w:pPr>
        <w:spacing w:line="540" w:lineRule="exact"/>
        <w:ind w:firstLine="632" w:firstLineChars="200"/>
        <w:rPr>
          <w:rFonts w:ascii="方正仿宋_GBK"/>
        </w:rPr>
      </w:pPr>
      <w:r>
        <w:rPr>
          <w:rFonts w:hint="eastAsia" w:ascii="方正楷体_GBK" w:eastAsia="方正楷体_GBK"/>
        </w:rPr>
        <w:t>12.</w:t>
      </w:r>
      <w:r>
        <w:rPr>
          <w:rFonts w:hint="eastAsia" w:ascii="方正仿宋_GBK"/>
        </w:rPr>
        <w:t>中标结果公示无异议后，乡招标办通知中标人领取中标通知书。按照“谁主管、谁负责”的原则，项目业务主管部门按照招标文件中公示的合同内容与中标人完成合同签订，7个工作日内完成。</w:t>
      </w:r>
    </w:p>
    <w:p>
      <w:pPr>
        <w:spacing w:line="540" w:lineRule="exact"/>
        <w:ind w:firstLine="632" w:firstLineChars="200"/>
        <w:rPr>
          <w:rFonts w:hint="eastAsia" w:ascii="方正仿宋_GBK" w:hAnsi="方正仿宋_GBK" w:cs="方正仿宋_GBK"/>
          <w:b/>
        </w:rPr>
      </w:pPr>
      <w:r>
        <w:rPr>
          <w:rFonts w:hint="eastAsia" w:ascii="方正仿宋_GBK" w:hAnsi="方正仿宋_GBK" w:cs="方正仿宋_GBK"/>
          <w:b/>
        </w:rPr>
        <w:t>第十五条  开标监督管理（适用于本乡招标的项目）</w:t>
      </w:r>
    </w:p>
    <w:p>
      <w:pPr>
        <w:spacing w:line="540" w:lineRule="exact"/>
        <w:ind w:firstLine="538" w:firstLineChars="170"/>
        <w:rPr>
          <w:rFonts w:ascii="方正仿宋_GBK"/>
        </w:rPr>
      </w:pPr>
      <w:r>
        <w:rPr>
          <w:rFonts w:hint="eastAsia" w:ascii="方正仿宋_GBK"/>
        </w:rPr>
        <w:t>1.现场设置3名监督人员：</w:t>
      </w:r>
    </w:p>
    <w:p>
      <w:pPr>
        <w:spacing w:line="540" w:lineRule="exact"/>
        <w:ind w:firstLine="538" w:firstLineChars="170"/>
        <w:rPr>
          <w:rFonts w:ascii="方正仿宋_GBK"/>
        </w:rPr>
      </w:pPr>
      <w:r>
        <w:rPr>
          <w:rFonts w:hint="eastAsia" w:ascii="方正仿宋_GBK"/>
        </w:rPr>
        <w:t>招标现场由业务主管部门1名、财政办1名、人大办1名工作人员参与现场监督。</w:t>
      </w:r>
    </w:p>
    <w:p>
      <w:pPr>
        <w:spacing w:line="540" w:lineRule="exact"/>
        <w:ind w:firstLine="538" w:firstLineChars="170"/>
        <w:rPr>
          <w:rFonts w:ascii="方正仿宋_GBK"/>
        </w:rPr>
      </w:pPr>
      <w:r>
        <w:rPr>
          <w:rFonts w:hint="eastAsia" w:ascii="方正仿宋_GBK"/>
        </w:rPr>
        <w:t>2.监督人员工作职责：</w:t>
      </w:r>
    </w:p>
    <w:p>
      <w:pPr>
        <w:spacing w:line="540" w:lineRule="exact"/>
        <w:ind w:firstLine="538" w:firstLineChars="170"/>
        <w:rPr>
          <w:rFonts w:ascii="方正仿宋_GBK"/>
        </w:rPr>
      </w:pPr>
      <w:r>
        <w:rPr>
          <w:rFonts w:hint="eastAsia" w:ascii="方正仿宋_GBK"/>
        </w:rPr>
        <w:t>监督开评标现场秩序；监督开评标程序是否合规；监督投标人等相关人员的言行；核实评标结果。</w:t>
      </w:r>
    </w:p>
    <w:p>
      <w:pPr>
        <w:spacing w:line="540" w:lineRule="exact"/>
        <w:ind w:firstLine="538" w:firstLineChars="170"/>
        <w:rPr>
          <w:rFonts w:ascii="方正仿宋_GBK"/>
        </w:rPr>
      </w:pPr>
      <w:r>
        <w:rPr>
          <w:rFonts w:hint="eastAsia" w:ascii="方正仿宋_GBK"/>
        </w:rPr>
        <w:t>3.现场监督主要内容：</w:t>
      </w:r>
    </w:p>
    <w:p>
      <w:pPr>
        <w:spacing w:line="540" w:lineRule="exact"/>
        <w:ind w:firstLine="538" w:firstLineChars="170"/>
        <w:rPr>
          <w:rFonts w:ascii="方正仿宋_GBK"/>
        </w:rPr>
      </w:pPr>
      <w:r>
        <w:rPr>
          <w:rFonts w:ascii="方正仿宋_GBK"/>
        </w:rPr>
        <w:fldChar w:fldCharType="begin"/>
      </w:r>
      <w:r>
        <w:rPr>
          <w:rFonts w:ascii="方正仿宋_GBK"/>
        </w:rPr>
        <w:instrText xml:space="preserve"> </w:instrText>
      </w:r>
      <w:r>
        <w:rPr>
          <w:rFonts w:hint="eastAsia" w:ascii="方正仿宋_GBK"/>
        </w:rPr>
        <w:instrText xml:space="preserve">= 1 \* GB3</w:instrText>
      </w:r>
      <w:r>
        <w:rPr>
          <w:rFonts w:ascii="方正仿宋_GBK"/>
        </w:rPr>
        <w:instrText xml:space="preserve"> </w:instrText>
      </w:r>
      <w:r>
        <w:rPr>
          <w:rFonts w:ascii="方正仿宋_GBK"/>
        </w:rPr>
        <w:fldChar w:fldCharType="separate"/>
      </w:r>
      <w:r>
        <w:rPr>
          <w:rFonts w:hint="eastAsia" w:ascii="方正仿宋_GBK"/>
        </w:rPr>
        <w:t>①</w:t>
      </w:r>
      <w:r>
        <w:rPr>
          <w:rFonts w:ascii="方正仿宋_GBK"/>
        </w:rPr>
        <w:fldChar w:fldCharType="end"/>
      </w:r>
      <w:r>
        <w:rPr>
          <w:rFonts w:hint="eastAsia" w:ascii="方正仿宋_GBK"/>
        </w:rPr>
        <w:t>组织开评标负责人是否宣读开评标纪律和相关规定；在评标前是否核实招标工作组成员与投标人有利害关系。</w:t>
      </w:r>
      <w:r>
        <w:rPr>
          <w:rFonts w:ascii="方正仿宋_GBK"/>
        </w:rPr>
        <w:fldChar w:fldCharType="begin"/>
      </w:r>
      <w:r>
        <w:rPr>
          <w:rFonts w:ascii="方正仿宋_GBK"/>
        </w:rPr>
        <w:instrText xml:space="preserve"> </w:instrText>
      </w:r>
      <w:r>
        <w:rPr>
          <w:rFonts w:hint="eastAsia" w:ascii="方正仿宋_GBK"/>
        </w:rPr>
        <w:instrText xml:space="preserve">= 2 \* GB3</w:instrText>
      </w:r>
      <w:r>
        <w:rPr>
          <w:rFonts w:ascii="方正仿宋_GBK"/>
        </w:rPr>
        <w:instrText xml:space="preserve"> </w:instrText>
      </w:r>
      <w:r>
        <w:rPr>
          <w:rFonts w:ascii="方正仿宋_GBK"/>
        </w:rPr>
        <w:fldChar w:fldCharType="separate"/>
      </w:r>
      <w:r>
        <w:rPr>
          <w:rFonts w:hint="eastAsia" w:ascii="方正仿宋_GBK"/>
        </w:rPr>
        <w:t>②</w:t>
      </w:r>
      <w:r>
        <w:rPr>
          <w:rFonts w:ascii="方正仿宋_GBK"/>
        </w:rPr>
        <w:fldChar w:fldCharType="end"/>
      </w:r>
      <w:r>
        <w:rPr>
          <w:rFonts w:hint="eastAsia" w:ascii="方正仿宋_GBK"/>
        </w:rPr>
        <w:t>招标过程中是否认真履行职责，遵守现场纪律和规定，遵守职业道德。</w:t>
      </w:r>
    </w:p>
    <w:p>
      <w:pPr>
        <w:spacing w:line="540" w:lineRule="exact"/>
        <w:ind w:firstLine="538" w:firstLineChars="170"/>
        <w:rPr>
          <w:rFonts w:ascii="方正仿宋_GBK"/>
        </w:rPr>
      </w:pPr>
      <w:r>
        <w:rPr>
          <w:rFonts w:hint="eastAsia" w:ascii="方正仿宋_GBK"/>
        </w:rPr>
        <w:t>4.现场监督人员要求：</w:t>
      </w:r>
    </w:p>
    <w:p>
      <w:pPr>
        <w:spacing w:line="540" w:lineRule="exact"/>
        <w:ind w:firstLine="538" w:firstLineChars="170"/>
        <w:rPr>
          <w:rFonts w:ascii="方正仿宋_GBK"/>
        </w:rPr>
      </w:pPr>
      <w:r>
        <w:rPr>
          <w:rFonts w:ascii="方正仿宋_GBK"/>
        </w:rPr>
        <w:fldChar w:fldCharType="begin"/>
      </w:r>
      <w:r>
        <w:rPr>
          <w:rFonts w:ascii="方正仿宋_GBK"/>
        </w:rPr>
        <w:instrText xml:space="preserve"> </w:instrText>
      </w:r>
      <w:r>
        <w:rPr>
          <w:rFonts w:hint="eastAsia" w:ascii="方正仿宋_GBK"/>
        </w:rPr>
        <w:instrText xml:space="preserve">= 1 \* GB3</w:instrText>
      </w:r>
      <w:r>
        <w:rPr>
          <w:rFonts w:ascii="方正仿宋_GBK"/>
        </w:rPr>
        <w:instrText xml:space="preserve"> </w:instrText>
      </w:r>
      <w:r>
        <w:rPr>
          <w:rFonts w:ascii="方正仿宋_GBK"/>
        </w:rPr>
        <w:fldChar w:fldCharType="separate"/>
      </w:r>
      <w:r>
        <w:rPr>
          <w:rFonts w:hint="eastAsia" w:ascii="方正仿宋_GBK"/>
        </w:rPr>
        <w:t>①</w:t>
      </w:r>
      <w:r>
        <w:rPr>
          <w:rFonts w:ascii="方正仿宋_GBK"/>
        </w:rPr>
        <w:fldChar w:fldCharType="end"/>
      </w:r>
      <w:r>
        <w:rPr>
          <w:rFonts w:hint="eastAsia" w:ascii="方正仿宋_GBK"/>
        </w:rPr>
        <w:t>监督人员不得参与评标，不得对法律法规以外的标书内容进行解释，不得发表倾向性的语言，不得无故干予评标过程。</w:t>
      </w:r>
      <w:r>
        <w:rPr>
          <w:rFonts w:ascii="方正仿宋_GBK"/>
        </w:rPr>
        <w:fldChar w:fldCharType="begin"/>
      </w:r>
      <w:r>
        <w:rPr>
          <w:rFonts w:ascii="方正仿宋_GBK"/>
        </w:rPr>
        <w:instrText xml:space="preserve"> </w:instrText>
      </w:r>
      <w:r>
        <w:rPr>
          <w:rFonts w:hint="eastAsia" w:ascii="方正仿宋_GBK"/>
        </w:rPr>
        <w:instrText xml:space="preserve">= 2 \* GB3</w:instrText>
      </w:r>
      <w:r>
        <w:rPr>
          <w:rFonts w:ascii="方正仿宋_GBK"/>
        </w:rPr>
        <w:instrText xml:space="preserve"> </w:instrText>
      </w:r>
      <w:r>
        <w:rPr>
          <w:rFonts w:ascii="方正仿宋_GBK"/>
        </w:rPr>
        <w:fldChar w:fldCharType="separate"/>
      </w:r>
      <w:r>
        <w:rPr>
          <w:rFonts w:hint="eastAsia" w:ascii="方正仿宋_GBK"/>
        </w:rPr>
        <w:t>②</w:t>
      </w:r>
      <w:r>
        <w:rPr>
          <w:rFonts w:ascii="方正仿宋_GBK"/>
        </w:rPr>
        <w:fldChar w:fldCharType="end"/>
      </w:r>
      <w:r>
        <w:rPr>
          <w:rFonts w:hint="eastAsia" w:ascii="方正仿宋_GBK"/>
        </w:rPr>
        <w:t>监督人员要严格遵守保密制度，不得向外透露评标内容和结果。</w:t>
      </w:r>
      <w:r>
        <w:rPr>
          <w:rFonts w:ascii="方正仿宋_GBK"/>
        </w:rPr>
        <w:fldChar w:fldCharType="begin"/>
      </w:r>
      <w:r>
        <w:rPr>
          <w:rFonts w:ascii="方正仿宋_GBK"/>
        </w:rPr>
        <w:instrText xml:space="preserve"> </w:instrText>
      </w:r>
      <w:r>
        <w:rPr>
          <w:rFonts w:hint="eastAsia" w:ascii="方正仿宋_GBK"/>
        </w:rPr>
        <w:instrText xml:space="preserve">= 3 \* GB3</w:instrText>
      </w:r>
      <w:r>
        <w:rPr>
          <w:rFonts w:ascii="方正仿宋_GBK"/>
        </w:rPr>
        <w:instrText xml:space="preserve"> </w:instrText>
      </w:r>
      <w:r>
        <w:rPr>
          <w:rFonts w:ascii="方正仿宋_GBK"/>
        </w:rPr>
        <w:fldChar w:fldCharType="separate"/>
      </w:r>
      <w:r>
        <w:rPr>
          <w:rFonts w:hint="eastAsia" w:ascii="方正仿宋_GBK"/>
        </w:rPr>
        <w:t>③</w:t>
      </w:r>
      <w:r>
        <w:rPr>
          <w:rFonts w:ascii="方正仿宋_GBK"/>
        </w:rPr>
        <w:fldChar w:fldCharType="end"/>
      </w:r>
      <w:r>
        <w:rPr>
          <w:rFonts w:ascii="方正仿宋_GBK"/>
        </w:rPr>
        <w:t>监督人员要认真履行职责，发现问题及时制止，对现场不能解决的问题及时汇报。</w:t>
      </w:r>
    </w:p>
    <w:p>
      <w:pPr>
        <w:spacing w:line="540" w:lineRule="exact"/>
        <w:ind w:firstLine="632" w:firstLineChars="200"/>
        <w:rPr>
          <w:rFonts w:hint="eastAsia" w:ascii="方正仿宋_GBK" w:hAnsi="方正仿宋_GBK" w:cs="方正仿宋_GBK"/>
          <w:b/>
        </w:rPr>
      </w:pPr>
      <w:r>
        <w:rPr>
          <w:rFonts w:hint="eastAsia" w:ascii="方正仿宋_GBK" w:hAnsi="方正仿宋_GBK" w:cs="方正仿宋_GBK"/>
          <w:b/>
        </w:rPr>
        <w:t>第十六条  合同管理</w:t>
      </w:r>
    </w:p>
    <w:p>
      <w:pPr>
        <w:spacing w:line="540" w:lineRule="exact"/>
        <w:ind w:firstLine="632" w:firstLineChars="200"/>
        <w:rPr>
          <w:rFonts w:ascii="方正仿宋_GBK"/>
        </w:rPr>
      </w:pPr>
      <w:r>
        <w:rPr>
          <w:rFonts w:hint="eastAsia" w:ascii="方正仿宋_GBK"/>
        </w:rPr>
        <w:t>各业务主管部门按照区级行业主管部门制作的行业合同范本编制招标项目的合同，作为招标文件组成内容予以公示。合同内容必须严格符合上级有关规定。合同严格实行联签制度，一式陆份。</w:t>
      </w:r>
    </w:p>
    <w:p>
      <w:pPr>
        <w:spacing w:line="540" w:lineRule="exact"/>
        <w:ind w:firstLine="632" w:firstLineChars="200"/>
        <w:rPr>
          <w:rFonts w:hint="eastAsia" w:ascii="方正仿宋_GBK" w:hAnsi="方正仿宋_GBK" w:cs="方正仿宋_GBK"/>
          <w:b/>
        </w:rPr>
      </w:pPr>
      <w:r>
        <w:rPr>
          <w:rFonts w:hint="eastAsia" w:ascii="方正仿宋_GBK" w:hAnsi="方正仿宋_GBK" w:cs="方正仿宋_GBK"/>
          <w:b/>
        </w:rPr>
        <w:t>第十七条  资料管理</w:t>
      </w:r>
    </w:p>
    <w:p>
      <w:pPr>
        <w:spacing w:line="540" w:lineRule="exact"/>
        <w:ind w:firstLine="632" w:firstLineChars="200"/>
        <w:rPr>
          <w:rFonts w:ascii="方正仿宋_GBK"/>
        </w:rPr>
      </w:pPr>
      <w:r>
        <w:rPr>
          <w:rFonts w:hint="eastAsia" w:ascii="方正仿宋_GBK"/>
        </w:rPr>
        <w:t>1.招标办在完成招标工作后，及时保存各项目招投标相关资料，并复制一份移交至各业务主管部门。</w:t>
      </w:r>
    </w:p>
    <w:p>
      <w:pPr>
        <w:spacing w:line="540" w:lineRule="exact"/>
        <w:ind w:firstLine="632" w:firstLineChars="200"/>
        <w:rPr>
          <w:rFonts w:ascii="方正仿宋_GBK"/>
        </w:rPr>
      </w:pPr>
      <w:r>
        <w:rPr>
          <w:rFonts w:hint="eastAsia" w:ascii="方正仿宋_GBK"/>
        </w:rPr>
        <w:t>2.招投标项目后续资料由各业务主管部门收集整理，项目完成后，分类分年度将所有工程资料移送至乡党政办档案室集中保管。</w:t>
      </w:r>
    </w:p>
    <w:p>
      <w:pPr>
        <w:spacing w:line="540" w:lineRule="exact"/>
        <w:ind w:firstLine="632" w:firstLineChars="200"/>
      </w:pPr>
      <w:r>
        <w:rPr>
          <w:rFonts w:hint="eastAsia" w:ascii="方正仿宋_GBK" w:hAnsi="方正仿宋_GBK" w:cs="方正仿宋_GBK"/>
          <w:b/>
        </w:rPr>
        <w:t xml:space="preserve">第十八条 </w:t>
      </w:r>
      <w:r>
        <w:rPr>
          <w:rFonts w:hint="eastAsia"/>
        </w:rPr>
        <w:t xml:space="preserve"> </w:t>
      </w:r>
      <w:r>
        <w:rPr>
          <w:rFonts w:hint="eastAsia" w:ascii="方正仿宋_GBK"/>
        </w:rPr>
        <w:t>本办法自公布之日起施行。</w:t>
      </w:r>
    </w:p>
    <w:p>
      <w:pPr>
        <w:spacing w:line="540" w:lineRule="exact"/>
        <w:rPr>
          <w:rFonts w:ascii="方正仿宋_GBK"/>
        </w:rPr>
      </w:pPr>
    </w:p>
    <w:p>
      <w:pPr>
        <w:spacing w:line="520" w:lineRule="exact"/>
        <w:ind w:right="1264" w:rightChars="400"/>
        <w:jc w:val="right"/>
        <w:rPr>
          <w:rFonts w:hint="eastAsia" w:ascii="方正仿宋_GBK"/>
        </w:rPr>
      </w:pPr>
    </w:p>
    <w:p>
      <w:pPr>
        <w:spacing w:line="520" w:lineRule="exact"/>
        <w:ind w:right="1264" w:rightChars="400"/>
        <w:jc w:val="right"/>
        <w:rPr>
          <w:rFonts w:hint="eastAsia" w:ascii="方正仿宋_GBK"/>
        </w:rPr>
      </w:pPr>
    </w:p>
    <w:p>
      <w:pPr>
        <w:spacing w:line="520" w:lineRule="exact"/>
        <w:ind w:right="1264" w:rightChars="400"/>
        <w:jc w:val="right"/>
        <w:rPr>
          <w:rFonts w:hint="eastAsia" w:ascii="方正仿宋_GBK"/>
        </w:rPr>
      </w:pPr>
    </w:p>
    <w:p>
      <w:pPr>
        <w:spacing w:line="520" w:lineRule="exact"/>
        <w:ind w:right="1264" w:rightChars="400"/>
        <w:jc w:val="right"/>
        <w:rPr>
          <w:rFonts w:hint="eastAsia" w:ascii="方正仿宋_GBK" w:hAnsi="华文仿宋"/>
        </w:rPr>
      </w:pPr>
    </w:p>
    <w:p>
      <w:pPr>
        <w:spacing w:line="520" w:lineRule="exact"/>
        <w:ind w:right="1264" w:rightChars="400"/>
        <w:jc w:val="right"/>
        <w:rPr>
          <w:rFonts w:hint="eastAsia" w:ascii="方正仿宋_GBK" w:hAnsi="华文仿宋"/>
        </w:rPr>
      </w:pPr>
    </w:p>
    <w:p>
      <w:pPr>
        <w:spacing w:line="520" w:lineRule="exact"/>
        <w:ind w:right="1264" w:rightChars="400"/>
        <w:jc w:val="right"/>
        <w:rPr>
          <w:rFonts w:hint="eastAsia" w:ascii="方正仿宋_GBK" w:hAnsi="华文仿宋"/>
        </w:rPr>
      </w:pPr>
    </w:p>
    <w:p>
      <w:pPr>
        <w:spacing w:line="520" w:lineRule="exact"/>
        <w:ind w:right="1264" w:rightChars="400"/>
        <w:jc w:val="right"/>
        <w:rPr>
          <w:rFonts w:hint="eastAsia" w:ascii="方正仿宋_GBK" w:hAnsi="华文仿宋"/>
        </w:rPr>
      </w:pPr>
    </w:p>
    <w:p>
      <w:pPr>
        <w:spacing w:line="520" w:lineRule="exact"/>
        <w:ind w:right="1264" w:rightChars="400"/>
        <w:jc w:val="right"/>
        <w:rPr>
          <w:rFonts w:hint="eastAsia" w:ascii="方正仿宋_GBK" w:hAnsi="华文仿宋"/>
        </w:rPr>
      </w:pPr>
    </w:p>
    <w:p>
      <w:pPr>
        <w:spacing w:line="520" w:lineRule="exact"/>
        <w:ind w:right="1264" w:rightChars="400"/>
        <w:jc w:val="right"/>
        <w:rPr>
          <w:rFonts w:hint="eastAsia" w:ascii="方正仿宋_GBK" w:hAnsi="华文仿宋"/>
        </w:rPr>
      </w:pPr>
    </w:p>
    <w:p>
      <w:pPr>
        <w:pBdr>
          <w:top w:val="single" w:color="auto" w:sz="4" w:space="1"/>
          <w:bottom w:val="single" w:color="auto" w:sz="4" w:space="1"/>
        </w:pBdr>
        <w:spacing w:line="440" w:lineRule="exact"/>
        <w:ind w:firstLine="222" w:firstLineChars="75"/>
        <w:rPr>
          <w:rFonts w:hint="eastAsia" w:ascii="方正仿宋_GBK"/>
          <w:sz w:val="30"/>
        </w:rPr>
      </w:pPr>
      <w:r>
        <w:rPr>
          <w:rFonts w:hint="eastAsia" w:ascii="方正仿宋_GBK"/>
          <w:sz w:val="30"/>
        </w:rPr>
        <w:t>重庆市涪陵区大木乡党政办公室　　　  2021年12月10日印发</w:t>
      </w:r>
    </w:p>
    <w:sectPr>
      <w:headerReference r:id="rId5" w:type="default"/>
      <w:footerReference r:id="rId7" w:type="default"/>
      <w:headerReference r:id="rId6" w:type="even"/>
      <w:footerReference r:id="rId8" w:type="even"/>
      <w:pgSz w:w="11906" w:h="16838"/>
      <w:pgMar w:top="1531" w:right="1531" w:bottom="1531" w:left="1531" w:header="851" w:footer="851"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E00002FF" w:usb1="400004FF" w:usb2="00000000"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华文仿宋">
    <w:altName w:val="汉仪仿宋简"/>
    <w:panose1 w:val="02010600040101010101"/>
    <w:charset w:val="00"/>
    <w:family w:val="auto"/>
    <w:pitch w:val="default"/>
    <w:sig w:usb0="00000287" w:usb1="080F0000" w:usb2="00000010" w:usb3="00000000" w:csb0="0004009F" w:csb1="00000000"/>
  </w:font>
  <w:font w:name="Courier New">
    <w:altName w:val="DejaVu Sans"/>
    <w:panose1 w:val="02070309020205020404"/>
    <w:charset w:val="00"/>
    <w:family w:val="modern"/>
    <w:pitch w:val="default"/>
    <w:sig w:usb0="E0002AFF" w:usb1="C0007843"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A10006FF" w:usb1="4000205B" w:usb2="00000010" w:usb3="00000000" w:csb0="0000019F"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Y2ZkYTMxYWY4MmVlY2U2MTNiNDA4OGY1M2QzMTMifQ=="/>
  </w:docVars>
  <w:rsids>
    <w:rsidRoot w:val="004C6B8E"/>
    <w:rsid w:val="000023BC"/>
    <w:rsid w:val="0001655E"/>
    <w:rsid w:val="0002232D"/>
    <w:rsid w:val="000332D8"/>
    <w:rsid w:val="000341B5"/>
    <w:rsid w:val="00035AB2"/>
    <w:rsid w:val="00040A22"/>
    <w:rsid w:val="00045191"/>
    <w:rsid w:val="00050EA1"/>
    <w:rsid w:val="00054386"/>
    <w:rsid w:val="00055782"/>
    <w:rsid w:val="00055976"/>
    <w:rsid w:val="000573E4"/>
    <w:rsid w:val="00063F63"/>
    <w:rsid w:val="000700B9"/>
    <w:rsid w:val="00071676"/>
    <w:rsid w:val="00073CB4"/>
    <w:rsid w:val="0007744C"/>
    <w:rsid w:val="000852CA"/>
    <w:rsid w:val="00087120"/>
    <w:rsid w:val="00092B32"/>
    <w:rsid w:val="00096E3D"/>
    <w:rsid w:val="000A14DF"/>
    <w:rsid w:val="000A2F36"/>
    <w:rsid w:val="000A3096"/>
    <w:rsid w:val="000A62EB"/>
    <w:rsid w:val="000A7660"/>
    <w:rsid w:val="000B38E5"/>
    <w:rsid w:val="000B49A0"/>
    <w:rsid w:val="000B5E43"/>
    <w:rsid w:val="000B6213"/>
    <w:rsid w:val="000B66EA"/>
    <w:rsid w:val="000B73A6"/>
    <w:rsid w:val="000C29BD"/>
    <w:rsid w:val="000D3294"/>
    <w:rsid w:val="000D4CF8"/>
    <w:rsid w:val="000F0F74"/>
    <w:rsid w:val="000F4775"/>
    <w:rsid w:val="000F4FFB"/>
    <w:rsid w:val="000F6C7C"/>
    <w:rsid w:val="00105AA9"/>
    <w:rsid w:val="00115975"/>
    <w:rsid w:val="00120D08"/>
    <w:rsid w:val="00121EF7"/>
    <w:rsid w:val="00121FE0"/>
    <w:rsid w:val="00122006"/>
    <w:rsid w:val="00127C08"/>
    <w:rsid w:val="00141779"/>
    <w:rsid w:val="0014196F"/>
    <w:rsid w:val="00143A48"/>
    <w:rsid w:val="00150E53"/>
    <w:rsid w:val="00151190"/>
    <w:rsid w:val="00157524"/>
    <w:rsid w:val="0015761E"/>
    <w:rsid w:val="0016069D"/>
    <w:rsid w:val="00165C27"/>
    <w:rsid w:val="001704AC"/>
    <w:rsid w:val="00172538"/>
    <w:rsid w:val="00172FFB"/>
    <w:rsid w:val="00173BB1"/>
    <w:rsid w:val="001842F2"/>
    <w:rsid w:val="001874C2"/>
    <w:rsid w:val="001946F1"/>
    <w:rsid w:val="00196AC3"/>
    <w:rsid w:val="001A29DE"/>
    <w:rsid w:val="001A5E7E"/>
    <w:rsid w:val="001B0247"/>
    <w:rsid w:val="001B0611"/>
    <w:rsid w:val="001B0D4B"/>
    <w:rsid w:val="001B557E"/>
    <w:rsid w:val="001B7360"/>
    <w:rsid w:val="001C63D6"/>
    <w:rsid w:val="001D3462"/>
    <w:rsid w:val="001E7EEF"/>
    <w:rsid w:val="00215B62"/>
    <w:rsid w:val="0021731B"/>
    <w:rsid w:val="00232E16"/>
    <w:rsid w:val="002338E6"/>
    <w:rsid w:val="002424A2"/>
    <w:rsid w:val="00251F90"/>
    <w:rsid w:val="0025272E"/>
    <w:rsid w:val="00261FC3"/>
    <w:rsid w:val="00264878"/>
    <w:rsid w:val="00266887"/>
    <w:rsid w:val="0027036C"/>
    <w:rsid w:val="0027306B"/>
    <w:rsid w:val="00274C63"/>
    <w:rsid w:val="0027615B"/>
    <w:rsid w:val="00276B07"/>
    <w:rsid w:val="00277177"/>
    <w:rsid w:val="00277B0A"/>
    <w:rsid w:val="00277C76"/>
    <w:rsid w:val="00280604"/>
    <w:rsid w:val="00280E59"/>
    <w:rsid w:val="00292395"/>
    <w:rsid w:val="002A227A"/>
    <w:rsid w:val="002A22B8"/>
    <w:rsid w:val="002A264B"/>
    <w:rsid w:val="002A766B"/>
    <w:rsid w:val="002B08C6"/>
    <w:rsid w:val="002B226A"/>
    <w:rsid w:val="002B334C"/>
    <w:rsid w:val="002B538C"/>
    <w:rsid w:val="002B789B"/>
    <w:rsid w:val="002D0292"/>
    <w:rsid w:val="002D3529"/>
    <w:rsid w:val="002D75A5"/>
    <w:rsid w:val="002D7D20"/>
    <w:rsid w:val="002E4BA0"/>
    <w:rsid w:val="002E7930"/>
    <w:rsid w:val="002F2943"/>
    <w:rsid w:val="002F5DDF"/>
    <w:rsid w:val="003019EB"/>
    <w:rsid w:val="00304FA0"/>
    <w:rsid w:val="00305BEE"/>
    <w:rsid w:val="003073AE"/>
    <w:rsid w:val="00310A19"/>
    <w:rsid w:val="003124FE"/>
    <w:rsid w:val="0031729E"/>
    <w:rsid w:val="00321D30"/>
    <w:rsid w:val="00321F8B"/>
    <w:rsid w:val="00326FB3"/>
    <w:rsid w:val="003270CC"/>
    <w:rsid w:val="00332889"/>
    <w:rsid w:val="00333490"/>
    <w:rsid w:val="003343AA"/>
    <w:rsid w:val="00335C02"/>
    <w:rsid w:val="0033641F"/>
    <w:rsid w:val="00346378"/>
    <w:rsid w:val="003607AD"/>
    <w:rsid w:val="00361264"/>
    <w:rsid w:val="00370440"/>
    <w:rsid w:val="0037427C"/>
    <w:rsid w:val="00375ECB"/>
    <w:rsid w:val="00380DBE"/>
    <w:rsid w:val="00382CCC"/>
    <w:rsid w:val="003913C0"/>
    <w:rsid w:val="00392156"/>
    <w:rsid w:val="00396CB7"/>
    <w:rsid w:val="003A17C6"/>
    <w:rsid w:val="003A2989"/>
    <w:rsid w:val="003A7C40"/>
    <w:rsid w:val="003B3D78"/>
    <w:rsid w:val="003B4955"/>
    <w:rsid w:val="003B5497"/>
    <w:rsid w:val="003B5908"/>
    <w:rsid w:val="003C1A3A"/>
    <w:rsid w:val="003C1BFB"/>
    <w:rsid w:val="003C24DF"/>
    <w:rsid w:val="003C35EF"/>
    <w:rsid w:val="003C4173"/>
    <w:rsid w:val="003D2872"/>
    <w:rsid w:val="003D2E23"/>
    <w:rsid w:val="003D60B7"/>
    <w:rsid w:val="003E1417"/>
    <w:rsid w:val="003E1741"/>
    <w:rsid w:val="003F0BB7"/>
    <w:rsid w:val="003F3B71"/>
    <w:rsid w:val="003F46AF"/>
    <w:rsid w:val="00401793"/>
    <w:rsid w:val="00406453"/>
    <w:rsid w:val="00410348"/>
    <w:rsid w:val="004135B8"/>
    <w:rsid w:val="00421882"/>
    <w:rsid w:val="00433CE6"/>
    <w:rsid w:val="004368A9"/>
    <w:rsid w:val="00460888"/>
    <w:rsid w:val="00472DDA"/>
    <w:rsid w:val="00480EE1"/>
    <w:rsid w:val="00485E5F"/>
    <w:rsid w:val="00486B99"/>
    <w:rsid w:val="004879ED"/>
    <w:rsid w:val="00492423"/>
    <w:rsid w:val="00497B65"/>
    <w:rsid w:val="004A0159"/>
    <w:rsid w:val="004A7948"/>
    <w:rsid w:val="004B187A"/>
    <w:rsid w:val="004B277E"/>
    <w:rsid w:val="004B4A50"/>
    <w:rsid w:val="004B4F10"/>
    <w:rsid w:val="004B6DF8"/>
    <w:rsid w:val="004B733C"/>
    <w:rsid w:val="004C2884"/>
    <w:rsid w:val="004C4BE3"/>
    <w:rsid w:val="004C6B8E"/>
    <w:rsid w:val="004D4494"/>
    <w:rsid w:val="004E44A9"/>
    <w:rsid w:val="004E5170"/>
    <w:rsid w:val="004F24F9"/>
    <w:rsid w:val="004F676A"/>
    <w:rsid w:val="004F7213"/>
    <w:rsid w:val="00506630"/>
    <w:rsid w:val="00513CDE"/>
    <w:rsid w:val="005215B7"/>
    <w:rsid w:val="00522D32"/>
    <w:rsid w:val="005305CE"/>
    <w:rsid w:val="005308E6"/>
    <w:rsid w:val="00533814"/>
    <w:rsid w:val="00535731"/>
    <w:rsid w:val="0055166A"/>
    <w:rsid w:val="00554608"/>
    <w:rsid w:val="005601F6"/>
    <w:rsid w:val="00572082"/>
    <w:rsid w:val="00575E7E"/>
    <w:rsid w:val="00577BE0"/>
    <w:rsid w:val="00590C7B"/>
    <w:rsid w:val="005913E3"/>
    <w:rsid w:val="00596C4C"/>
    <w:rsid w:val="005976BF"/>
    <w:rsid w:val="005A1CE6"/>
    <w:rsid w:val="005A2B02"/>
    <w:rsid w:val="005B19AE"/>
    <w:rsid w:val="005B4152"/>
    <w:rsid w:val="005B6EF9"/>
    <w:rsid w:val="005C00A7"/>
    <w:rsid w:val="005D1559"/>
    <w:rsid w:val="005D5C77"/>
    <w:rsid w:val="005E39CA"/>
    <w:rsid w:val="005E5F61"/>
    <w:rsid w:val="005F1073"/>
    <w:rsid w:val="005F3275"/>
    <w:rsid w:val="0060192F"/>
    <w:rsid w:val="00601A81"/>
    <w:rsid w:val="00604EB8"/>
    <w:rsid w:val="00606217"/>
    <w:rsid w:val="00611DA3"/>
    <w:rsid w:val="006131DB"/>
    <w:rsid w:val="00615B5D"/>
    <w:rsid w:val="00620348"/>
    <w:rsid w:val="00620EE9"/>
    <w:rsid w:val="006228CB"/>
    <w:rsid w:val="006230C5"/>
    <w:rsid w:val="00624343"/>
    <w:rsid w:val="006257BB"/>
    <w:rsid w:val="006258DD"/>
    <w:rsid w:val="0062626D"/>
    <w:rsid w:val="006314D6"/>
    <w:rsid w:val="00631D85"/>
    <w:rsid w:val="006322DC"/>
    <w:rsid w:val="00633501"/>
    <w:rsid w:val="00637751"/>
    <w:rsid w:val="00646327"/>
    <w:rsid w:val="006514CA"/>
    <w:rsid w:val="0065404B"/>
    <w:rsid w:val="00654C5D"/>
    <w:rsid w:val="006670F4"/>
    <w:rsid w:val="00673A77"/>
    <w:rsid w:val="006829FB"/>
    <w:rsid w:val="00683530"/>
    <w:rsid w:val="006A2E46"/>
    <w:rsid w:val="006B0AFA"/>
    <w:rsid w:val="006C4DC6"/>
    <w:rsid w:val="006D129D"/>
    <w:rsid w:val="006D2E4F"/>
    <w:rsid w:val="006D3B02"/>
    <w:rsid w:val="006D55A5"/>
    <w:rsid w:val="006D7BB7"/>
    <w:rsid w:val="006E4B8A"/>
    <w:rsid w:val="006F59E2"/>
    <w:rsid w:val="00702E8F"/>
    <w:rsid w:val="0070710A"/>
    <w:rsid w:val="0071127C"/>
    <w:rsid w:val="0071494F"/>
    <w:rsid w:val="00723E26"/>
    <w:rsid w:val="00725F21"/>
    <w:rsid w:val="007374C6"/>
    <w:rsid w:val="00740AFB"/>
    <w:rsid w:val="00741494"/>
    <w:rsid w:val="007426D7"/>
    <w:rsid w:val="00742999"/>
    <w:rsid w:val="00743C2A"/>
    <w:rsid w:val="007445B7"/>
    <w:rsid w:val="00745FA5"/>
    <w:rsid w:val="00753FCB"/>
    <w:rsid w:val="00754080"/>
    <w:rsid w:val="0075473A"/>
    <w:rsid w:val="00755940"/>
    <w:rsid w:val="007653D9"/>
    <w:rsid w:val="00767F53"/>
    <w:rsid w:val="00770C49"/>
    <w:rsid w:val="007738DE"/>
    <w:rsid w:val="007808A2"/>
    <w:rsid w:val="00785AD6"/>
    <w:rsid w:val="00787A5F"/>
    <w:rsid w:val="00795574"/>
    <w:rsid w:val="007A201E"/>
    <w:rsid w:val="007A4724"/>
    <w:rsid w:val="007A4E1E"/>
    <w:rsid w:val="007B28E9"/>
    <w:rsid w:val="007C24D6"/>
    <w:rsid w:val="007C5016"/>
    <w:rsid w:val="007C70B0"/>
    <w:rsid w:val="007D13A2"/>
    <w:rsid w:val="007D157B"/>
    <w:rsid w:val="007D4269"/>
    <w:rsid w:val="007D52C4"/>
    <w:rsid w:val="007F0501"/>
    <w:rsid w:val="007F12E9"/>
    <w:rsid w:val="007F1CFE"/>
    <w:rsid w:val="007F7293"/>
    <w:rsid w:val="00802BF2"/>
    <w:rsid w:val="008035FC"/>
    <w:rsid w:val="00816986"/>
    <w:rsid w:val="008241D7"/>
    <w:rsid w:val="00833BF1"/>
    <w:rsid w:val="00836A3A"/>
    <w:rsid w:val="0084244C"/>
    <w:rsid w:val="00854A48"/>
    <w:rsid w:val="008560A6"/>
    <w:rsid w:val="00856EF1"/>
    <w:rsid w:val="00864A8F"/>
    <w:rsid w:val="008723C3"/>
    <w:rsid w:val="0088017A"/>
    <w:rsid w:val="00882D6A"/>
    <w:rsid w:val="008838EA"/>
    <w:rsid w:val="00886851"/>
    <w:rsid w:val="008974DC"/>
    <w:rsid w:val="008A46F1"/>
    <w:rsid w:val="008A5AC9"/>
    <w:rsid w:val="008B14FC"/>
    <w:rsid w:val="008B53C2"/>
    <w:rsid w:val="008B6BBA"/>
    <w:rsid w:val="008C3D56"/>
    <w:rsid w:val="008C575E"/>
    <w:rsid w:val="008D5A62"/>
    <w:rsid w:val="008D5C5F"/>
    <w:rsid w:val="008E03AB"/>
    <w:rsid w:val="008E249C"/>
    <w:rsid w:val="008E413A"/>
    <w:rsid w:val="008E4DFB"/>
    <w:rsid w:val="008E50C4"/>
    <w:rsid w:val="009015FA"/>
    <w:rsid w:val="00901EFF"/>
    <w:rsid w:val="00902243"/>
    <w:rsid w:val="009075A9"/>
    <w:rsid w:val="009139A9"/>
    <w:rsid w:val="00917832"/>
    <w:rsid w:val="00923771"/>
    <w:rsid w:val="0092620C"/>
    <w:rsid w:val="00926901"/>
    <w:rsid w:val="0093207B"/>
    <w:rsid w:val="00941288"/>
    <w:rsid w:val="00942C61"/>
    <w:rsid w:val="00944C4B"/>
    <w:rsid w:val="00945162"/>
    <w:rsid w:val="0095194D"/>
    <w:rsid w:val="00956C20"/>
    <w:rsid w:val="0098218E"/>
    <w:rsid w:val="009905BB"/>
    <w:rsid w:val="00994BDD"/>
    <w:rsid w:val="00997419"/>
    <w:rsid w:val="009A21A7"/>
    <w:rsid w:val="009B23BD"/>
    <w:rsid w:val="009B601B"/>
    <w:rsid w:val="009C47C4"/>
    <w:rsid w:val="009D3C4C"/>
    <w:rsid w:val="009E0417"/>
    <w:rsid w:val="009E3A7F"/>
    <w:rsid w:val="009F05A1"/>
    <w:rsid w:val="009F144F"/>
    <w:rsid w:val="009F231A"/>
    <w:rsid w:val="009F5579"/>
    <w:rsid w:val="00A02598"/>
    <w:rsid w:val="00A0766C"/>
    <w:rsid w:val="00A12B0C"/>
    <w:rsid w:val="00A140CA"/>
    <w:rsid w:val="00A14D7A"/>
    <w:rsid w:val="00A16527"/>
    <w:rsid w:val="00A201BE"/>
    <w:rsid w:val="00A214F2"/>
    <w:rsid w:val="00A253DB"/>
    <w:rsid w:val="00A320E2"/>
    <w:rsid w:val="00A33A47"/>
    <w:rsid w:val="00A4068B"/>
    <w:rsid w:val="00A41CF0"/>
    <w:rsid w:val="00A46523"/>
    <w:rsid w:val="00A52C4D"/>
    <w:rsid w:val="00A5394C"/>
    <w:rsid w:val="00A54E13"/>
    <w:rsid w:val="00A62D1A"/>
    <w:rsid w:val="00A6510A"/>
    <w:rsid w:val="00A65D0E"/>
    <w:rsid w:val="00A67181"/>
    <w:rsid w:val="00A67528"/>
    <w:rsid w:val="00A70516"/>
    <w:rsid w:val="00A75348"/>
    <w:rsid w:val="00A75557"/>
    <w:rsid w:val="00A76C53"/>
    <w:rsid w:val="00A81B20"/>
    <w:rsid w:val="00A83A57"/>
    <w:rsid w:val="00A869BA"/>
    <w:rsid w:val="00A87253"/>
    <w:rsid w:val="00A87F8D"/>
    <w:rsid w:val="00A90681"/>
    <w:rsid w:val="00A9396C"/>
    <w:rsid w:val="00AA183A"/>
    <w:rsid w:val="00AA55C8"/>
    <w:rsid w:val="00AD0D15"/>
    <w:rsid w:val="00AD1D62"/>
    <w:rsid w:val="00AD2521"/>
    <w:rsid w:val="00AD503D"/>
    <w:rsid w:val="00AD517D"/>
    <w:rsid w:val="00AD574B"/>
    <w:rsid w:val="00AD6192"/>
    <w:rsid w:val="00AD7BDA"/>
    <w:rsid w:val="00AE0B53"/>
    <w:rsid w:val="00AE7BC4"/>
    <w:rsid w:val="00AF6FDF"/>
    <w:rsid w:val="00B04E22"/>
    <w:rsid w:val="00B13A04"/>
    <w:rsid w:val="00B13B3E"/>
    <w:rsid w:val="00B2019A"/>
    <w:rsid w:val="00B2124C"/>
    <w:rsid w:val="00B2389B"/>
    <w:rsid w:val="00B242CE"/>
    <w:rsid w:val="00B24748"/>
    <w:rsid w:val="00B3166D"/>
    <w:rsid w:val="00B332CF"/>
    <w:rsid w:val="00B3441E"/>
    <w:rsid w:val="00B37D92"/>
    <w:rsid w:val="00B47233"/>
    <w:rsid w:val="00B50190"/>
    <w:rsid w:val="00B54AC0"/>
    <w:rsid w:val="00B5751F"/>
    <w:rsid w:val="00B57BC8"/>
    <w:rsid w:val="00B636BA"/>
    <w:rsid w:val="00B64EFF"/>
    <w:rsid w:val="00B8024E"/>
    <w:rsid w:val="00B82B34"/>
    <w:rsid w:val="00B831F8"/>
    <w:rsid w:val="00B93650"/>
    <w:rsid w:val="00BA26AF"/>
    <w:rsid w:val="00BA648D"/>
    <w:rsid w:val="00BA6BDD"/>
    <w:rsid w:val="00BB0626"/>
    <w:rsid w:val="00BB09AA"/>
    <w:rsid w:val="00BC779D"/>
    <w:rsid w:val="00BD1B9A"/>
    <w:rsid w:val="00BE0942"/>
    <w:rsid w:val="00C0363E"/>
    <w:rsid w:val="00C06205"/>
    <w:rsid w:val="00C22FFD"/>
    <w:rsid w:val="00C30756"/>
    <w:rsid w:val="00C324DD"/>
    <w:rsid w:val="00C32AC4"/>
    <w:rsid w:val="00C34075"/>
    <w:rsid w:val="00C42BBC"/>
    <w:rsid w:val="00C42CE7"/>
    <w:rsid w:val="00C44618"/>
    <w:rsid w:val="00C5599C"/>
    <w:rsid w:val="00C57011"/>
    <w:rsid w:val="00C610CA"/>
    <w:rsid w:val="00C611AE"/>
    <w:rsid w:val="00C652EF"/>
    <w:rsid w:val="00C732D4"/>
    <w:rsid w:val="00C76AF3"/>
    <w:rsid w:val="00C76C8F"/>
    <w:rsid w:val="00C921A4"/>
    <w:rsid w:val="00C97C1A"/>
    <w:rsid w:val="00CA1D29"/>
    <w:rsid w:val="00CA5290"/>
    <w:rsid w:val="00CB030A"/>
    <w:rsid w:val="00CB2F7E"/>
    <w:rsid w:val="00CB31E6"/>
    <w:rsid w:val="00CB34FF"/>
    <w:rsid w:val="00CB3F76"/>
    <w:rsid w:val="00CB67D2"/>
    <w:rsid w:val="00CC057A"/>
    <w:rsid w:val="00CC4279"/>
    <w:rsid w:val="00CC5D6A"/>
    <w:rsid w:val="00CC7A5D"/>
    <w:rsid w:val="00CD1406"/>
    <w:rsid w:val="00CD50EC"/>
    <w:rsid w:val="00CD7797"/>
    <w:rsid w:val="00CE0E61"/>
    <w:rsid w:val="00CE74A2"/>
    <w:rsid w:val="00CF3B2D"/>
    <w:rsid w:val="00CF7E70"/>
    <w:rsid w:val="00CF7F01"/>
    <w:rsid w:val="00D042BD"/>
    <w:rsid w:val="00D04F98"/>
    <w:rsid w:val="00D060C8"/>
    <w:rsid w:val="00D06E0C"/>
    <w:rsid w:val="00D07C46"/>
    <w:rsid w:val="00D124E0"/>
    <w:rsid w:val="00D13857"/>
    <w:rsid w:val="00D13E4B"/>
    <w:rsid w:val="00D14133"/>
    <w:rsid w:val="00D17392"/>
    <w:rsid w:val="00D3232B"/>
    <w:rsid w:val="00D32B2F"/>
    <w:rsid w:val="00D43A97"/>
    <w:rsid w:val="00D43D39"/>
    <w:rsid w:val="00D57463"/>
    <w:rsid w:val="00D64908"/>
    <w:rsid w:val="00D6615E"/>
    <w:rsid w:val="00D67925"/>
    <w:rsid w:val="00D70DF6"/>
    <w:rsid w:val="00D7455B"/>
    <w:rsid w:val="00D82D74"/>
    <w:rsid w:val="00D833FC"/>
    <w:rsid w:val="00D87B3A"/>
    <w:rsid w:val="00DA0BE0"/>
    <w:rsid w:val="00DB1BBC"/>
    <w:rsid w:val="00DB21F9"/>
    <w:rsid w:val="00DB562C"/>
    <w:rsid w:val="00DB6021"/>
    <w:rsid w:val="00DB6231"/>
    <w:rsid w:val="00DB6D1F"/>
    <w:rsid w:val="00DC7E4B"/>
    <w:rsid w:val="00DD16CE"/>
    <w:rsid w:val="00DD597C"/>
    <w:rsid w:val="00DD6218"/>
    <w:rsid w:val="00DE683C"/>
    <w:rsid w:val="00DE7BCC"/>
    <w:rsid w:val="00DF1878"/>
    <w:rsid w:val="00DF6751"/>
    <w:rsid w:val="00E03E18"/>
    <w:rsid w:val="00E07D63"/>
    <w:rsid w:val="00E10949"/>
    <w:rsid w:val="00E14515"/>
    <w:rsid w:val="00E22D2F"/>
    <w:rsid w:val="00E2578B"/>
    <w:rsid w:val="00E2737F"/>
    <w:rsid w:val="00E44B87"/>
    <w:rsid w:val="00E503CC"/>
    <w:rsid w:val="00E506A3"/>
    <w:rsid w:val="00E50CAA"/>
    <w:rsid w:val="00E522B4"/>
    <w:rsid w:val="00E60640"/>
    <w:rsid w:val="00E60FD3"/>
    <w:rsid w:val="00E72498"/>
    <w:rsid w:val="00E9463A"/>
    <w:rsid w:val="00E960C3"/>
    <w:rsid w:val="00EA1EC7"/>
    <w:rsid w:val="00EA2833"/>
    <w:rsid w:val="00EA7491"/>
    <w:rsid w:val="00EA7C82"/>
    <w:rsid w:val="00EB028B"/>
    <w:rsid w:val="00EB08A9"/>
    <w:rsid w:val="00EB3CFE"/>
    <w:rsid w:val="00EB7D11"/>
    <w:rsid w:val="00EC27E1"/>
    <w:rsid w:val="00EC33AC"/>
    <w:rsid w:val="00ED1A55"/>
    <w:rsid w:val="00ED2BF1"/>
    <w:rsid w:val="00EE0CB1"/>
    <w:rsid w:val="00EE1FC5"/>
    <w:rsid w:val="00EE5A21"/>
    <w:rsid w:val="00EE6F75"/>
    <w:rsid w:val="00EF412C"/>
    <w:rsid w:val="00EF6EDC"/>
    <w:rsid w:val="00F05B4A"/>
    <w:rsid w:val="00F05D4D"/>
    <w:rsid w:val="00F061AC"/>
    <w:rsid w:val="00F109D7"/>
    <w:rsid w:val="00F114AB"/>
    <w:rsid w:val="00F13EAE"/>
    <w:rsid w:val="00F32108"/>
    <w:rsid w:val="00F36932"/>
    <w:rsid w:val="00F3793A"/>
    <w:rsid w:val="00F37A19"/>
    <w:rsid w:val="00F57DE6"/>
    <w:rsid w:val="00F62A03"/>
    <w:rsid w:val="00F659AE"/>
    <w:rsid w:val="00F6768D"/>
    <w:rsid w:val="00F74647"/>
    <w:rsid w:val="00F760EA"/>
    <w:rsid w:val="00F81CF3"/>
    <w:rsid w:val="00F86BB7"/>
    <w:rsid w:val="00F90BF8"/>
    <w:rsid w:val="00F9281D"/>
    <w:rsid w:val="00F92F1C"/>
    <w:rsid w:val="00F942CA"/>
    <w:rsid w:val="00F963B0"/>
    <w:rsid w:val="00FA278F"/>
    <w:rsid w:val="00FA27CC"/>
    <w:rsid w:val="00FB221D"/>
    <w:rsid w:val="00FC0016"/>
    <w:rsid w:val="00FC091E"/>
    <w:rsid w:val="00FC7049"/>
    <w:rsid w:val="00FD26C5"/>
    <w:rsid w:val="00FD3DDE"/>
    <w:rsid w:val="00FE20E5"/>
    <w:rsid w:val="00FE7090"/>
    <w:rsid w:val="00FF3366"/>
    <w:rsid w:val="00FF5024"/>
    <w:rsid w:val="0DDE2BE9"/>
    <w:rsid w:val="12B43D7D"/>
    <w:rsid w:val="14D673C6"/>
    <w:rsid w:val="1FF57355"/>
    <w:rsid w:val="24A73BB5"/>
    <w:rsid w:val="2AE46F67"/>
    <w:rsid w:val="2BA375D2"/>
    <w:rsid w:val="313C27EF"/>
    <w:rsid w:val="31F449CB"/>
    <w:rsid w:val="32447A0F"/>
    <w:rsid w:val="32F02F60"/>
    <w:rsid w:val="3A403C4C"/>
    <w:rsid w:val="42432627"/>
    <w:rsid w:val="424E6DB4"/>
    <w:rsid w:val="42E755BA"/>
    <w:rsid w:val="474506E5"/>
    <w:rsid w:val="49770D18"/>
    <w:rsid w:val="549249DF"/>
    <w:rsid w:val="5F797E94"/>
    <w:rsid w:val="602B30E5"/>
    <w:rsid w:val="66EB0E53"/>
    <w:rsid w:val="6987410B"/>
    <w:rsid w:val="75CE3911"/>
    <w:rsid w:val="7ABC398A"/>
    <w:rsid w:val="7AEC21E7"/>
    <w:rsid w:val="7B433376"/>
    <w:rsid w:val="7C3515D4"/>
    <w:rsid w:val="7C7F77FF"/>
    <w:rsid w:val="7E4762A2"/>
    <w:rsid w:val="7FD21924"/>
    <w:rsid w:val="E7DF26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kern w:val="2"/>
      <w:sz w:val="32"/>
      <w:szCs w:val="32"/>
      <w:lang w:val="en-US" w:eastAsia="zh-CN" w:bidi="ar-SA"/>
    </w:rPr>
  </w:style>
  <w:style w:type="paragraph" w:styleId="2">
    <w:name w:val="heading 1"/>
    <w:basedOn w:val="1"/>
    <w:next w:val="1"/>
    <w:link w:val="20"/>
    <w:qFormat/>
    <w:uiPriority w:val="0"/>
    <w:pPr>
      <w:keepNext/>
      <w:keepLines/>
      <w:spacing w:before="340" w:after="330" w:line="680" w:lineRule="exact"/>
      <w:outlineLvl w:val="0"/>
    </w:pPr>
    <w:rPr>
      <w:rFonts w:eastAsia="方正小标宋_GBK"/>
      <w:bCs/>
      <w:kern w:val="44"/>
      <w:sz w:val="44"/>
      <w:szCs w:val="44"/>
    </w:rPr>
  </w:style>
  <w:style w:type="paragraph" w:styleId="3">
    <w:name w:val="heading 2"/>
    <w:basedOn w:val="1"/>
    <w:next w:val="1"/>
    <w:link w:val="21"/>
    <w:qFormat/>
    <w:uiPriority w:val="0"/>
    <w:pPr>
      <w:keepNext/>
      <w:keepLines/>
      <w:spacing w:before="260" w:after="260" w:line="416" w:lineRule="atLeast"/>
      <w:outlineLvl w:val="1"/>
    </w:pPr>
    <w:rPr>
      <w:rFonts w:ascii="Cambria" w:hAnsi="Cambria" w:eastAsia="宋体" w:cs="Times New Roman"/>
      <w:b/>
      <w:bCs/>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4">
    <w:name w:val="Body Text Indent"/>
    <w:basedOn w:val="1"/>
    <w:link w:val="22"/>
    <w:uiPriority w:val="0"/>
    <w:pPr>
      <w:spacing w:line="560" w:lineRule="exact"/>
      <w:ind w:firstLine="627"/>
    </w:pPr>
    <w:rPr>
      <w:rFonts w:ascii="仿宋_GB2312" w:hAnsi="华文仿宋" w:eastAsia="仿宋_GB2312"/>
      <w:szCs w:val="20"/>
    </w:rPr>
  </w:style>
  <w:style w:type="paragraph" w:styleId="5">
    <w:name w:val="Plain Text"/>
    <w:basedOn w:val="1"/>
    <w:link w:val="23"/>
    <w:uiPriority w:val="0"/>
    <w:pPr>
      <w:widowControl/>
      <w:spacing w:line="240" w:lineRule="auto"/>
    </w:pPr>
    <w:rPr>
      <w:rFonts w:ascii="宋体" w:hAnsi="Courier New" w:eastAsia="宋体" w:cs="宋体"/>
      <w:sz w:val="21"/>
      <w:szCs w:val="21"/>
    </w:rPr>
  </w:style>
  <w:style w:type="paragraph" w:styleId="6">
    <w:name w:val="Date"/>
    <w:basedOn w:val="1"/>
    <w:next w:val="1"/>
    <w:uiPriority w:val="0"/>
    <w:pPr>
      <w:ind w:left="100" w:leftChars="2500"/>
    </w:pPr>
  </w:style>
  <w:style w:type="paragraph" w:styleId="7">
    <w:name w:val="Body Text Indent 2"/>
    <w:basedOn w:val="1"/>
    <w:link w:val="24"/>
    <w:uiPriority w:val="0"/>
    <w:pPr>
      <w:spacing w:after="120" w:line="480" w:lineRule="auto"/>
      <w:ind w:left="420" w:leftChars="200"/>
    </w:pPr>
  </w:style>
  <w:style w:type="paragraph" w:styleId="8">
    <w:name w:val="Balloon Text"/>
    <w:basedOn w:val="1"/>
    <w:semiHidden/>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spacing w:before="240" w:after="60" w:line="500" w:lineRule="exact"/>
      <w:jc w:val="center"/>
      <w:outlineLvl w:val="1"/>
    </w:pPr>
    <w:rPr>
      <w:rFonts w:ascii="Cambria" w:hAnsi="Cambria" w:eastAsia="方正楷体_GBK" w:cs="Times New Roman"/>
      <w:bCs/>
      <w:kern w:val="28"/>
    </w:rPr>
  </w:style>
  <w:style w:type="paragraph" w:styleId="12">
    <w:name w:val="Title"/>
    <w:basedOn w:val="1"/>
    <w:next w:val="1"/>
    <w:link w:val="27"/>
    <w:qFormat/>
    <w:uiPriority w:val="0"/>
    <w:pPr>
      <w:spacing w:before="240" w:after="60"/>
      <w:jc w:val="center"/>
      <w:outlineLvl w:val="0"/>
    </w:pPr>
    <w:rPr>
      <w:rFonts w:ascii="Cambria" w:hAnsi="Cambria" w:eastAsia="宋体" w:cs="Times New Roman"/>
      <w:b/>
      <w:bCs/>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iPriority w:val="0"/>
  </w:style>
  <w:style w:type="character" w:styleId="18">
    <w:name w:val="Emphasis"/>
    <w:qFormat/>
    <w:uiPriority w:val="0"/>
    <w:rPr>
      <w:i/>
      <w:iCs/>
    </w:rPr>
  </w:style>
  <w:style w:type="character" w:styleId="19">
    <w:name w:val="Hyperlink"/>
    <w:uiPriority w:val="0"/>
    <w:rPr>
      <w:color w:val="0000FF"/>
      <w:u w:val="single"/>
    </w:rPr>
  </w:style>
  <w:style w:type="character" w:customStyle="1" w:styleId="20">
    <w:name w:val="标题 1 Char"/>
    <w:link w:val="2"/>
    <w:uiPriority w:val="0"/>
    <w:rPr>
      <w:rFonts w:eastAsia="方正小标宋_GBK"/>
      <w:bCs/>
      <w:kern w:val="44"/>
      <w:sz w:val="44"/>
      <w:szCs w:val="44"/>
    </w:rPr>
  </w:style>
  <w:style w:type="character" w:customStyle="1" w:styleId="21">
    <w:name w:val="标题 2 Char"/>
    <w:link w:val="3"/>
    <w:semiHidden/>
    <w:uiPriority w:val="0"/>
    <w:rPr>
      <w:rFonts w:ascii="Cambria" w:hAnsi="Cambria" w:eastAsia="宋体" w:cs="Times New Roman"/>
      <w:b/>
      <w:bCs/>
      <w:kern w:val="2"/>
      <w:sz w:val="32"/>
      <w:szCs w:val="32"/>
    </w:rPr>
  </w:style>
  <w:style w:type="character" w:customStyle="1" w:styleId="22">
    <w:name w:val="正文文本缩进 Char"/>
    <w:link w:val="4"/>
    <w:locked/>
    <w:uiPriority w:val="0"/>
    <w:rPr>
      <w:rFonts w:ascii="仿宋_GB2312" w:hAnsi="华文仿宋" w:eastAsia="仿宋_GB2312"/>
      <w:kern w:val="2"/>
      <w:sz w:val="32"/>
    </w:rPr>
  </w:style>
  <w:style w:type="character" w:customStyle="1" w:styleId="23">
    <w:name w:val="纯文本 Char"/>
    <w:link w:val="5"/>
    <w:uiPriority w:val="0"/>
    <w:rPr>
      <w:rFonts w:ascii="宋体" w:hAnsi="Courier New" w:cs="宋体"/>
      <w:kern w:val="2"/>
      <w:sz w:val="21"/>
      <w:szCs w:val="21"/>
    </w:rPr>
  </w:style>
  <w:style w:type="character" w:customStyle="1" w:styleId="24">
    <w:name w:val="正文文本缩进 2 Char"/>
    <w:link w:val="7"/>
    <w:uiPriority w:val="0"/>
    <w:rPr>
      <w:rFonts w:eastAsia="方正仿宋_GBK"/>
      <w:kern w:val="2"/>
      <w:sz w:val="32"/>
      <w:szCs w:val="32"/>
    </w:rPr>
  </w:style>
  <w:style w:type="character" w:customStyle="1" w:styleId="25">
    <w:name w:val="页脚 Char"/>
    <w:link w:val="9"/>
    <w:uiPriority w:val="0"/>
    <w:rPr>
      <w:rFonts w:eastAsia="方正仿宋_GBK"/>
      <w:kern w:val="2"/>
      <w:sz w:val="18"/>
      <w:szCs w:val="18"/>
    </w:rPr>
  </w:style>
  <w:style w:type="character" w:customStyle="1" w:styleId="26">
    <w:name w:val="副标题 Char"/>
    <w:link w:val="11"/>
    <w:uiPriority w:val="0"/>
    <w:rPr>
      <w:rFonts w:ascii="Cambria" w:hAnsi="Cambria" w:eastAsia="方正楷体_GBK" w:cs="Times New Roman"/>
      <w:bCs/>
      <w:kern w:val="28"/>
      <w:sz w:val="32"/>
      <w:szCs w:val="32"/>
    </w:rPr>
  </w:style>
  <w:style w:type="character" w:customStyle="1" w:styleId="27">
    <w:name w:val="标题 Char"/>
    <w:link w:val="12"/>
    <w:uiPriority w:val="0"/>
    <w:rPr>
      <w:rFonts w:ascii="Cambria" w:hAnsi="Cambria" w:cs="Times New Roman"/>
      <w:b/>
      <w:bCs/>
      <w:kern w:val="2"/>
      <w:sz w:val="32"/>
      <w:szCs w:val="32"/>
    </w:rPr>
  </w:style>
  <w:style w:type="character" w:styleId="28">
    <w:name w:val=""/>
    <w:qFormat/>
    <w:uiPriority w:val="19"/>
    <w:rPr>
      <w:rFonts w:eastAsia="方正楷体_GBK"/>
      <w:iCs/>
      <w:color w:val="auto"/>
      <w:sz w:val="32"/>
    </w:rPr>
  </w:style>
  <w:style w:type="character" w:customStyle="1" w:styleId="29">
    <w:name w:val="NormalCharacter"/>
    <w:qFormat/>
    <w:uiPriority w:val="0"/>
    <w:rPr>
      <w:rFonts w:eastAsia="方正仿宋_GBK"/>
      <w:kern w:val="2"/>
      <w:sz w:val="32"/>
      <w:szCs w:val="32"/>
      <w:lang w:val="en-US" w:eastAsia="zh-CN" w:bidi="ar-SA"/>
    </w:rPr>
  </w:style>
  <w:style w:type="character" w:customStyle="1" w:styleId="30">
    <w:name w:val="正文文本缩进 Char1"/>
    <w:uiPriority w:val="0"/>
    <w:rPr>
      <w:rFonts w:eastAsia="方正仿宋_GBK"/>
      <w:kern w:val="2"/>
      <w:sz w:val="32"/>
      <w:szCs w:val="32"/>
    </w:rPr>
  </w:style>
  <w:style w:type="paragraph" w:customStyle="1" w:styleId="31">
    <w:name w:val="msonormalcxsplast"/>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32">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p17"/>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34">
    <w:name w:val="msonormalcxspmiddle"/>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35">
    <w:name w:val="p0"/>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36">
    <w:name w:val="Char Char Char Char Char Char Char Char Char Char Char Char Char Char Char Char Char Char Char Char Char Char"/>
    <w:basedOn w:val="1"/>
    <w:uiPriority w:val="0"/>
    <w:rPr>
      <w:rFonts w:ascii="宋体" w:hAnsi="宋体" w:eastAsia="宋体" w:cs="Courier New"/>
    </w:rPr>
  </w:style>
  <w:style w:type="paragraph" w:styleId="37">
    <w:name w:val="List Paragraph"/>
    <w:basedOn w:val="1"/>
    <w:qFormat/>
    <w:uiPriority w:val="0"/>
    <w:pPr>
      <w:spacing w:line="240" w:lineRule="auto"/>
      <w:ind w:firstLine="420" w:firstLineChars="200"/>
    </w:pPr>
    <w:rPr>
      <w:rFonts w:eastAsia="宋体"/>
      <w:sz w:val="21"/>
      <w:szCs w:val="24"/>
    </w:rPr>
  </w:style>
  <w:style w:type="paragraph" w:customStyle="1" w:styleId="38">
    <w:name w:val="Char4 Char Char Char"/>
    <w:basedOn w:val="1"/>
    <w:uiPriority w:val="0"/>
    <w:pPr>
      <w:adjustRightInd w:val="0"/>
      <w:snapToGrid w:val="0"/>
      <w:spacing w:line="360" w:lineRule="auto"/>
      <w:ind w:firstLine="200" w:firstLineChars="200"/>
    </w:pPr>
    <w:rPr>
      <w:rFonts w:eastAsia="宋体"/>
      <w:szCs w:val="20"/>
    </w:rPr>
  </w:style>
  <w:style w:type="paragraph" w:customStyle="1" w:styleId="39">
    <w:name w:val=" Char"/>
    <w:basedOn w:val="1"/>
    <w:qFormat/>
    <w:uiPriority w:val="0"/>
    <w:pPr>
      <w:spacing w:line="240" w:lineRule="auto"/>
    </w:pPr>
    <w:rPr>
      <w:rFonts w:ascii="仿宋_GB2312" w:eastAsia="仿宋_GB2312" w:cs="仿宋_GB2312"/>
      <w:b/>
      <w:bCs/>
    </w:rPr>
  </w:style>
  <w:style w:type="paragraph" w:customStyle="1" w:styleId="40">
    <w:name w:val="Char4 Char Char Char1"/>
    <w:basedOn w:val="1"/>
    <w:uiPriority w:val="0"/>
    <w:pPr>
      <w:adjustRightInd w:val="0"/>
      <w:snapToGrid w:val="0"/>
      <w:spacing w:line="360" w:lineRule="auto"/>
      <w:ind w:firstLine="200" w:firstLineChars="200"/>
    </w:pPr>
    <w:rPr>
      <w:szCs w:val="20"/>
    </w:rPr>
  </w:style>
  <w:style w:type="paragraph" w:customStyle="1" w:styleId="41">
    <w:name w:val="正文 A"/>
    <w:qFormat/>
    <w:uiPriority w:val="0"/>
    <w:pPr>
      <w:widowControl w:val="0"/>
      <w:jc w:val="both"/>
    </w:pPr>
    <w:rPr>
      <w:rFonts w:eastAsia="Calibri" w:cs="Calibri"/>
      <w:color w:val="000000"/>
      <w:kern w:val="2"/>
      <w:sz w:val="32"/>
      <w:szCs w:val="32"/>
      <w:lang w:val="en-US" w:eastAsia="zh-CN" w:bidi="ar-SA"/>
    </w:rPr>
  </w:style>
  <w:style w:type="paragraph" w:styleId="42">
    <w:name w:val="No Spacing"/>
    <w:qFormat/>
    <w:uiPriority w:val="1"/>
    <w:pPr>
      <w:widowControl w:val="0"/>
      <w:jc w:val="both"/>
    </w:pPr>
    <w:rPr>
      <w:rFonts w:eastAsia="方正黑体_GBK"/>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Desktop\2016.3.1&#20851;&#20110;&#25253;&#36865;2015&#24180;&#24230;&#34920;&#24432;&#22870;&#21169;&#24773;&#20917;&#32479;&#35745;&#34920;&#30340;&#36890;&#3069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2016.3.1关于报送2015年度表彰奖励情况统计表的通知</Template>
  <Company>微软中国</Company>
  <Pages>10</Pages>
  <Words>779</Words>
  <Characters>4444</Characters>
  <Lines>37</Lines>
  <Paragraphs>10</Paragraphs>
  <TotalTime>1</TotalTime>
  <ScaleCrop>false</ScaleCrop>
  <LinksUpToDate>false</LinksUpToDate>
  <CharactersWithSpaces>5213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2019-01-21T10:47:00Z</dcterms:created>
  <dc:creator>微软用户</dc:creator>
  <cp:lastModifiedBy>user</cp:lastModifiedBy>
  <cp:lastPrinted>2024-06-20T13:35:00Z</cp:lastPrinted>
  <dcterms:modified xsi:type="dcterms:W3CDTF">2025-06-27T15:56:58Z</dcterms:modified>
  <dc:title>涪府发〔2013〕号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13A4F2674C474A5C990B97C1A86B209A</vt:lpwstr>
  </property>
</Properties>
</file>