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0" w:lineRule="exact"/>
        <w:jc w:val="center"/>
        <w:rPr>
          <w:rFonts w:ascii="方正小标宋_GBK" w:hAnsi="Times New Roman" w:eastAsia="方正小标宋_GBK" w:cs="Times New Roman"/>
          <w:b/>
          <w:bCs/>
          <w:sz w:val="32"/>
          <w:szCs w:val="24"/>
        </w:rPr>
      </w:pPr>
    </w:p>
    <w:p>
      <w:pPr>
        <w:spacing w:line="380" w:lineRule="exact"/>
        <w:jc w:val="center"/>
        <w:rPr>
          <w:rFonts w:ascii="方正小标宋_GBK" w:hAnsi="Times New Roman" w:eastAsia="方正小标宋_GBK" w:cs="Times New Roman"/>
          <w:spacing w:val="-14"/>
          <w:w w:val="42"/>
          <w:sz w:val="32"/>
          <w:szCs w:val="24"/>
        </w:rPr>
      </w:pPr>
    </w:p>
    <w:p>
      <w:pPr>
        <w:tabs>
          <w:tab w:val="left" w:pos="5025"/>
        </w:tabs>
        <w:spacing w:line="380" w:lineRule="exact"/>
        <w:jc w:val="center"/>
        <w:rPr>
          <w:rFonts w:ascii="方正小标宋_GBK" w:hAnsi="Times New Roman" w:eastAsia="方正小标宋_GBK" w:cs="Times New Roman"/>
          <w:spacing w:val="-14"/>
          <w:w w:val="42"/>
          <w:sz w:val="32"/>
          <w:szCs w:val="24"/>
        </w:rPr>
      </w:pPr>
    </w:p>
    <w:p>
      <w:pPr>
        <w:tabs>
          <w:tab w:val="left" w:pos="5025"/>
        </w:tabs>
        <w:spacing w:line="380" w:lineRule="exact"/>
        <w:jc w:val="center"/>
        <w:rPr>
          <w:rFonts w:ascii="方正小标宋_GBK" w:hAnsi="Times New Roman" w:eastAsia="方正小标宋_GBK" w:cs="Times New Roman"/>
          <w:spacing w:val="-14"/>
          <w:w w:val="42"/>
          <w:sz w:val="32"/>
          <w:szCs w:val="24"/>
        </w:rPr>
      </w:pPr>
    </w:p>
    <w:p>
      <w:pPr>
        <w:spacing w:line="400" w:lineRule="exact"/>
        <w:jc w:val="center"/>
        <w:rPr>
          <w:rFonts w:ascii="方正小标宋_GBK" w:hAnsi="Times New Roman" w:eastAsia="方正小标宋_GBK" w:cs="Times New Roman"/>
          <w:spacing w:val="-14"/>
          <w:w w:val="42"/>
          <w:sz w:val="32"/>
          <w:szCs w:val="24"/>
        </w:rPr>
      </w:pPr>
    </w:p>
    <w:p>
      <w:pPr>
        <w:tabs>
          <w:tab w:val="left" w:pos="8690"/>
        </w:tabs>
        <w:spacing w:line="1180" w:lineRule="exact"/>
        <w:jc w:val="center"/>
        <w:rPr>
          <w:rFonts w:ascii="方正小标宋_GBK" w:hAnsi="Times New Roman" w:eastAsia="方正小标宋_GBK" w:cs="Times New Roman"/>
          <w:b/>
          <w:bCs/>
          <w:color w:val="FF0000"/>
          <w:spacing w:val="-14"/>
          <w:w w:val="56"/>
          <w:sz w:val="108"/>
          <w:szCs w:val="108"/>
        </w:rPr>
      </w:pPr>
      <w:r>
        <w:rPr>
          <w:rFonts w:hint="eastAsia" w:ascii="方正小标宋_GBK" w:hAnsi="Times New Roman" w:eastAsia="方正小标宋_GBK" w:cs="Times New Roman"/>
          <w:b/>
          <w:bCs/>
          <w:color w:val="FF0000"/>
          <w:spacing w:val="-14"/>
          <w:w w:val="56"/>
          <w:sz w:val="108"/>
          <w:szCs w:val="108"/>
        </w:rPr>
        <w:t>重庆市涪陵区大顺乡人民政府文件</w:t>
      </w:r>
    </w:p>
    <w:p>
      <w:pPr>
        <w:spacing w:line="600" w:lineRule="exact"/>
        <w:jc w:val="center"/>
        <w:rPr>
          <w:rFonts w:ascii="仿宋_GB2312" w:hAnsi="Times New Roman" w:eastAsia="方正仿宋_GBK" w:cs="Times New Roman"/>
          <w:color w:val="FF0000"/>
          <w:sz w:val="32"/>
          <w:szCs w:val="24"/>
        </w:rPr>
      </w:pPr>
    </w:p>
    <w:p>
      <w:pPr>
        <w:spacing w:line="600" w:lineRule="exact"/>
        <w:jc w:val="center"/>
        <w:rPr>
          <w:rFonts w:ascii="仿宋_GB2312" w:hAnsi="Times New Roman" w:eastAsia="方正仿宋_GBK" w:cs="Times New Roman"/>
          <w:sz w:val="32"/>
          <w:szCs w:val="24"/>
        </w:rPr>
      </w:pPr>
    </w:p>
    <w:p>
      <w:pPr>
        <w:jc w:val="center"/>
        <w:rPr>
          <w:rFonts w:ascii="方正仿宋_GBK" w:hAnsi="Times New Roman" w:eastAsia="方正仿宋_GBK" w:cs="Times New Roman"/>
          <w:sz w:val="32"/>
          <w:szCs w:val="24"/>
        </w:rPr>
      </w:pPr>
      <w:r>
        <w:rPr>
          <w:rFonts w:hint="eastAsia" w:ascii="方正仿宋_GBK" w:hAnsi="Times New Roman" w:eastAsia="方正仿宋_GBK" w:cs="Times New Roman"/>
          <w:sz w:val="32"/>
          <w:szCs w:val="24"/>
        </w:rPr>
        <w:t>大顺府发〔2021〕51号</w:t>
      </w:r>
    </w:p>
    <w:p>
      <w:pPr>
        <w:spacing w:line="640" w:lineRule="exact"/>
        <w:jc w:val="center"/>
        <w:rPr>
          <w:rFonts w:ascii="方正仿宋_GBK" w:hAnsi="Times New Roman" w:eastAsia="方正仿宋_GBK" w:cs="Times New Roman"/>
          <w:sz w:val="32"/>
          <w:szCs w:val="24"/>
        </w:rPr>
      </w:pPr>
      <w:r>
        <w:rPr>
          <w:rFonts w:ascii="方正仿宋_GBK" w:hAnsi="Times New Roman" w:eastAsia="方正仿宋_GBK" w:cs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615940" cy="0"/>
                <wp:effectExtent l="0" t="13970" r="3810" b="24130"/>
                <wp:wrapSquare wrapText="bothSides"/>
                <wp:docPr id="1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Line 12" o:spid="_x0000_s1026" o:spt="20" style="position:absolute;left:0pt;margin-left:0pt;margin-top:6.6pt;height:0pt;width:442.2pt;mso-wrap-distance-bottom:0pt;mso-wrap-distance-left:9pt;mso-wrap-distance-right:9pt;mso-wrap-distance-top:0pt;z-index:251660288;mso-width-relative:page;mso-height-relative:page;" filled="f" stroked="t" coordsize="21600,21600" o:gfxdata="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CyODATUAAAABgEAAA8AAAAAAAAA&#10;AQAgAAAAOAAAAGRycy9kb3ducmV2LnhtbFBLAQIUABQAAAAIAIdO4kBlfxplxgEAAJADAAAOAAAA&#10;AAAAAAEAIAAAADkBAABkcnMvZTJvRG9jLnhtbFBLBQYAAAAABgAGAFkBAABxBQAAAAA=&#10;">
                <v:fill on="f" focussize="0,0"/>
                <v:stroke weight="2.25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spacing w:line="640" w:lineRule="exact"/>
        <w:jc w:val="center"/>
        <w:rPr>
          <w:rFonts w:ascii="方正仿宋_GBK" w:hAnsi="Times New Roman" w:eastAsia="方正仿宋_GBK" w:cs="Times New Roman"/>
          <w:spacing w:val="-14"/>
          <w:w w:val="42"/>
          <w:sz w:val="32"/>
          <w:szCs w:val="24"/>
        </w:rPr>
      </w:pP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b w:val="0"/>
          <w:bCs/>
          <w:sz w:val="44"/>
          <w:szCs w:val="24"/>
        </w:rPr>
      </w:pPr>
      <w:r>
        <w:rPr>
          <w:rFonts w:hint="eastAsia" w:ascii="方正小标宋_GBK" w:hAnsi="Times New Roman" w:eastAsia="方正小标宋_GBK" w:cs="Times New Roman"/>
          <w:b w:val="0"/>
          <w:bCs/>
          <w:sz w:val="44"/>
          <w:szCs w:val="24"/>
        </w:rPr>
        <w:t>重庆市涪陵区大顺乡人民政府</w:t>
      </w: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b w:val="0"/>
          <w:bCs/>
          <w:sz w:val="44"/>
          <w:szCs w:val="24"/>
        </w:rPr>
      </w:pPr>
      <w:r>
        <w:rPr>
          <w:rFonts w:ascii="方正小标宋_GBK" w:hAnsi="Times New Roman" w:eastAsia="方正小标宋_GBK" w:cs="Times New Roman"/>
          <w:b w:val="0"/>
          <w:bCs/>
          <w:sz w:val="44"/>
          <w:szCs w:val="24"/>
        </w:rPr>
        <w:t>关于</w:t>
      </w:r>
      <w:r>
        <w:rPr>
          <w:rFonts w:hint="eastAsia" w:ascii="方正小标宋_GBK" w:hAnsi="Times New Roman" w:eastAsia="方正小标宋_GBK" w:cs="Times New Roman"/>
          <w:b w:val="0"/>
          <w:bCs/>
          <w:sz w:val="44"/>
          <w:szCs w:val="24"/>
        </w:rPr>
        <w:t>印发大顺乡农村集体经济组织</w:t>
      </w: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b w:val="0"/>
          <w:bCs/>
          <w:sz w:val="44"/>
          <w:szCs w:val="24"/>
        </w:rPr>
      </w:pPr>
      <w:r>
        <w:rPr>
          <w:rFonts w:hint="eastAsia" w:ascii="方正小标宋_GBK" w:hAnsi="Times New Roman" w:eastAsia="方正小标宋_GBK" w:cs="Times New Roman"/>
          <w:b w:val="0"/>
          <w:bCs/>
          <w:sz w:val="44"/>
          <w:szCs w:val="24"/>
        </w:rPr>
        <w:t>财务管理办法</w:t>
      </w:r>
      <w:r>
        <w:rPr>
          <w:rFonts w:ascii="方正小标宋_GBK" w:hAnsi="Times New Roman" w:eastAsia="方正小标宋_GBK" w:cs="Times New Roman"/>
          <w:b w:val="0"/>
          <w:bCs/>
          <w:sz w:val="44"/>
          <w:szCs w:val="24"/>
        </w:rPr>
        <w:t>的</w:t>
      </w:r>
      <w:r>
        <w:rPr>
          <w:rFonts w:hint="eastAsia" w:ascii="方正小标宋_GBK" w:hAnsi="Times New Roman" w:eastAsia="方正小标宋_GBK" w:cs="Times New Roman"/>
          <w:b w:val="0"/>
          <w:bCs/>
          <w:sz w:val="44"/>
          <w:szCs w:val="24"/>
        </w:rPr>
        <w:t>通</w:t>
      </w:r>
      <w:r>
        <w:rPr>
          <w:rFonts w:ascii="方正小标宋_GBK" w:hAnsi="Times New Roman" w:eastAsia="方正小标宋_GBK" w:cs="Times New Roman"/>
          <w:b w:val="0"/>
          <w:bCs/>
          <w:sz w:val="44"/>
          <w:szCs w:val="24"/>
        </w:rPr>
        <w:t>知</w:t>
      </w:r>
    </w:p>
    <w:p>
      <w:pPr>
        <w:spacing w:line="600" w:lineRule="exact"/>
        <w:ind w:firstLine="5963" w:firstLineChars="1350"/>
        <w:jc w:val="left"/>
        <w:rPr>
          <w:rFonts w:ascii="方正小标宋_GBK" w:hAnsi="Tahoma" w:eastAsia="方正小标宋_GBK"/>
          <w:b/>
          <w:kern w:val="0"/>
          <w:sz w:val="44"/>
          <w:szCs w:val="44"/>
        </w:rPr>
      </w:pPr>
      <w:r>
        <w:rPr>
          <w:rFonts w:ascii="方正小标宋_GBK" w:hAnsi="Tahoma" w:eastAsia="方正小标宋_GBK"/>
          <w:b/>
          <w:kern w:val="0"/>
          <w:sz w:val="44"/>
          <w:szCs w:val="44"/>
        </w:rPr>
        <w:t> </w:t>
      </w:r>
    </w:p>
    <w:p>
      <w:pPr>
        <w:spacing w:line="600" w:lineRule="exact"/>
        <w:jc w:val="left"/>
        <w:rPr>
          <w:rFonts w:ascii="方正仿宋_GBK" w:hAnsi="Tahoma" w:eastAsia="方正仿宋_GBK"/>
          <w:kern w:val="0"/>
          <w:sz w:val="32"/>
          <w:szCs w:val="32"/>
        </w:rPr>
      </w:pPr>
      <w:r>
        <w:rPr>
          <w:rFonts w:hint="eastAsia" w:ascii="方正仿宋_GBK" w:hAnsi="Tahoma" w:eastAsia="方正仿宋_GBK"/>
          <w:kern w:val="0"/>
          <w:sz w:val="32"/>
          <w:szCs w:val="32"/>
        </w:rPr>
        <w:t>各村（居）民委员会，乡级相关部门：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Tahoma" w:eastAsia="方正仿宋_GBK"/>
          <w:kern w:val="0"/>
          <w:sz w:val="32"/>
          <w:szCs w:val="32"/>
        </w:rPr>
        <w:t>根据区政府《关于印发重庆市涪陵区农村集体经济组织三资管理办法试行的通知》（涪府发〔2010〕74号）和区农业农村委《关于印发农村集体财务及“三资”管理工作制度示范文本（试行）的通知》（</w:t>
      </w:r>
      <w:r>
        <w:rPr>
          <w:rFonts w:hint="eastAsia" w:ascii="方正仿宋_GBK" w:hAnsi="Tahoma" w:eastAsia="方正仿宋_GBK"/>
          <w:bCs/>
          <w:kern w:val="0"/>
          <w:sz w:val="32"/>
          <w:szCs w:val="32"/>
        </w:rPr>
        <w:t>涪农委发〔2011〕111号</w:t>
      </w:r>
      <w:r>
        <w:rPr>
          <w:rFonts w:hint="eastAsia" w:ascii="方正仿宋_GBK" w:hAnsi="Tahoma" w:eastAsia="方正仿宋_GBK"/>
          <w:kern w:val="0"/>
          <w:sz w:val="32"/>
          <w:szCs w:val="32"/>
        </w:rPr>
        <w:t>）规定，结合现行有关规定和实际情况，我乡对有关农村集体经济组织财务管理办法进行了进一步修订完善。经研究，现将《大顺乡农村集体经济组织财务管理办法》印发你们，请严格遵照执行。</w:t>
      </w:r>
    </w:p>
    <w:p>
      <w:pPr>
        <w:spacing w:line="60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 xml:space="preserve">             </w:t>
      </w:r>
    </w:p>
    <w:p>
      <w:pPr>
        <w:spacing w:line="60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 xml:space="preserve">                    重庆市涪陵区</w:t>
      </w:r>
      <w:r>
        <w:rPr>
          <w:rFonts w:eastAsia="方正仿宋_GBK"/>
          <w:color w:val="000000"/>
          <w:sz w:val="32"/>
          <w:szCs w:val="32"/>
        </w:rPr>
        <w:pict>
          <v:shape id="_x0000_s2054" o:spid="_x0000_s2054" o:spt="201" type="#_x0000_t201" style="position:absolute;left:0pt;margin-left:230.6pt;margin-top:150.2pt;height:119.25pt;width:119.25pt;mso-position-vertical-relative:page;z-index:-251654144;mso-width-relative:page;mso-height-relative:page;" o:ole="t" filled="f" stroked="f" coordsize="21600,21600">
            <v:path/>
            <v:fill on="f" focussize="0,0"/>
            <v:stroke on="f" joinstyle="miter"/>
            <v:imagedata r:id="rId7" o:title=""/>
            <o:lock v:ext="edit"/>
          </v:shape>
        </w:pict>
      </w:r>
      <w:r>
        <w:rPr>
          <w:rFonts w:hint="eastAsia" w:eastAsia="方正仿宋_GBK"/>
          <w:color w:val="000000"/>
          <w:sz w:val="32"/>
          <w:szCs w:val="32"/>
        </w:rPr>
        <w:t>大顺乡人民政府</w:t>
      </w:r>
    </w:p>
    <w:p>
      <w:pPr>
        <w:spacing w:line="600" w:lineRule="exact"/>
        <w:ind w:firstLine="640" w:firstLineChars="200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2021年7月7日</w:t>
      </w:r>
    </w:p>
    <w:p>
      <w:pPr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eastAsia="方正仿宋_GBK"/>
          <w:sz w:val="32"/>
          <w:szCs w:val="32"/>
          <w:lang w:eastAsia="zh-CN"/>
        </w:rPr>
        <w:t>（此件公开发布）</w:t>
      </w:r>
    </w:p>
    <w:p>
      <w:pPr>
        <w:rPr>
          <w:rFonts w:eastAsia="方正仿宋_GBK"/>
          <w:sz w:val="32"/>
          <w:szCs w:val="32"/>
        </w:rPr>
      </w:pPr>
    </w:p>
    <w:p>
      <w:pPr>
        <w:rPr>
          <w:rFonts w:eastAsia="方正仿宋_GBK"/>
          <w:sz w:val="32"/>
          <w:szCs w:val="32"/>
        </w:rPr>
      </w:pPr>
    </w:p>
    <w:p>
      <w:pPr>
        <w:rPr>
          <w:rFonts w:eastAsia="方正仿宋_GBK"/>
          <w:sz w:val="32"/>
          <w:szCs w:val="32"/>
        </w:rPr>
      </w:pPr>
    </w:p>
    <w:p>
      <w:pPr>
        <w:rPr>
          <w:rFonts w:eastAsia="方正仿宋_GBK"/>
          <w:sz w:val="32"/>
          <w:szCs w:val="32"/>
        </w:rPr>
      </w:pPr>
    </w:p>
    <w:p>
      <w:pPr>
        <w:rPr>
          <w:rFonts w:eastAsia="方正仿宋_GBK"/>
          <w:sz w:val="32"/>
          <w:szCs w:val="32"/>
        </w:rPr>
      </w:pPr>
    </w:p>
    <w:p>
      <w:pPr>
        <w:rPr>
          <w:rFonts w:eastAsia="方正仿宋_GBK"/>
          <w:sz w:val="32"/>
          <w:szCs w:val="32"/>
        </w:rPr>
      </w:pPr>
    </w:p>
    <w:p>
      <w:pPr>
        <w:rPr>
          <w:rFonts w:eastAsia="方正仿宋_GBK"/>
          <w:sz w:val="32"/>
          <w:szCs w:val="32"/>
        </w:rPr>
      </w:pPr>
    </w:p>
    <w:p>
      <w:pPr>
        <w:rPr>
          <w:rFonts w:eastAsia="方正仿宋_GBK"/>
          <w:sz w:val="32"/>
          <w:szCs w:val="32"/>
        </w:rPr>
      </w:pPr>
    </w:p>
    <w:p>
      <w:pPr>
        <w:rPr>
          <w:rFonts w:eastAsia="方正仿宋_GBK"/>
          <w:sz w:val="32"/>
          <w:szCs w:val="32"/>
        </w:rPr>
      </w:pPr>
    </w:p>
    <w:p>
      <w:pPr>
        <w:rPr>
          <w:rFonts w:eastAsia="方正仿宋_GBK"/>
          <w:sz w:val="32"/>
          <w:szCs w:val="32"/>
        </w:rPr>
      </w:pPr>
    </w:p>
    <w:p>
      <w:pPr>
        <w:rPr>
          <w:rFonts w:eastAsia="方正仿宋_GBK"/>
          <w:sz w:val="32"/>
          <w:szCs w:val="32"/>
        </w:rPr>
      </w:pPr>
    </w:p>
    <w:p>
      <w:pPr>
        <w:rPr>
          <w:rFonts w:eastAsia="方正仿宋_GBK"/>
          <w:sz w:val="32"/>
          <w:szCs w:val="32"/>
        </w:rPr>
      </w:pPr>
    </w:p>
    <w:p>
      <w:pPr>
        <w:rPr>
          <w:rFonts w:eastAsia="方正仿宋_GBK"/>
          <w:sz w:val="32"/>
          <w:szCs w:val="32"/>
        </w:rPr>
      </w:pPr>
    </w:p>
    <w:p>
      <w:pPr>
        <w:rPr>
          <w:rFonts w:eastAsia="方正仿宋_GBK"/>
          <w:sz w:val="32"/>
          <w:szCs w:val="32"/>
        </w:rPr>
      </w:pPr>
    </w:p>
    <w:p>
      <w:pPr>
        <w:rPr>
          <w:rFonts w:eastAsia="方正仿宋_GBK"/>
          <w:sz w:val="32"/>
          <w:szCs w:val="32"/>
        </w:rPr>
      </w:pPr>
    </w:p>
    <w:p>
      <w:pPr>
        <w:rPr>
          <w:rFonts w:eastAsia="方正仿宋_GBK"/>
          <w:sz w:val="32"/>
          <w:szCs w:val="32"/>
        </w:rPr>
      </w:pPr>
    </w:p>
    <w:p>
      <w:pPr>
        <w:rPr>
          <w:rFonts w:eastAsia="方正仿宋_GBK"/>
          <w:sz w:val="32"/>
          <w:szCs w:val="32"/>
        </w:rPr>
      </w:pPr>
    </w:p>
    <w:p>
      <w:pPr>
        <w:rPr>
          <w:rFonts w:eastAsia="方正仿宋_GBK"/>
          <w:b w:val="0"/>
          <w:bCs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大顺乡农村集体经济组织财务管理办法</w:t>
      </w:r>
    </w:p>
    <w:p>
      <w:pPr>
        <w:adjustRightInd w:val="0"/>
        <w:snapToGrid w:val="0"/>
        <w:spacing w:line="560" w:lineRule="exact"/>
        <w:jc w:val="left"/>
        <w:rPr>
          <w:rFonts w:ascii="Tahoma" w:hAnsi="Tahoma" w:eastAsia="方正仿宋_GBK"/>
          <w:kern w:val="0"/>
          <w:sz w:val="32"/>
        </w:rPr>
      </w:pPr>
    </w:p>
    <w:p>
      <w:pPr>
        <w:adjustRightInd w:val="0"/>
        <w:snapToGrid w:val="0"/>
        <w:spacing w:line="570" w:lineRule="exact"/>
        <w:ind w:firstLine="648" w:firstLineChars="202"/>
        <w:jc w:val="left"/>
        <w:rPr>
          <w:rFonts w:ascii="Tahoma" w:hAnsi="Tahoma" w:eastAsia="方正仿宋_GBK"/>
          <w:kern w:val="0"/>
          <w:sz w:val="32"/>
        </w:rPr>
      </w:pPr>
      <w:r>
        <w:rPr>
          <w:rFonts w:ascii="Tahoma" w:hAnsi="Tahoma" w:eastAsia="方正仿宋_GBK"/>
          <w:b/>
          <w:bCs/>
          <w:kern w:val="0"/>
          <w:sz w:val="32"/>
        </w:rPr>
        <w:t>第一条</w:t>
      </w:r>
      <w:r>
        <w:rPr>
          <w:rFonts w:hint="eastAsia" w:ascii="Tahoma" w:hAnsi="Tahoma" w:eastAsia="方正仿宋_GBK"/>
          <w:b/>
          <w:bCs/>
          <w:kern w:val="0"/>
          <w:sz w:val="32"/>
        </w:rPr>
        <w:t xml:space="preserve">  </w:t>
      </w:r>
      <w:r>
        <w:rPr>
          <w:rFonts w:ascii="Tahoma" w:hAnsi="Tahoma" w:eastAsia="方正仿宋_GBK"/>
          <w:kern w:val="0"/>
          <w:sz w:val="32"/>
        </w:rPr>
        <w:t>为进一步加强和规范</w:t>
      </w:r>
      <w:r>
        <w:rPr>
          <w:rFonts w:hint="eastAsia" w:ascii="Tahoma" w:hAnsi="Tahoma" w:eastAsia="方正仿宋_GBK"/>
          <w:kern w:val="0"/>
          <w:sz w:val="32"/>
        </w:rPr>
        <w:t>农村集体经济组织</w:t>
      </w:r>
      <w:r>
        <w:rPr>
          <w:rFonts w:ascii="Tahoma" w:hAnsi="Tahoma" w:eastAsia="方正仿宋_GBK"/>
          <w:kern w:val="0"/>
          <w:sz w:val="32"/>
        </w:rPr>
        <w:t>财务管理，确保对</w:t>
      </w:r>
      <w:r>
        <w:rPr>
          <w:rFonts w:hint="eastAsia" w:ascii="Tahoma" w:hAnsi="Tahoma" w:eastAsia="方正仿宋_GBK"/>
          <w:kern w:val="0"/>
          <w:sz w:val="32"/>
        </w:rPr>
        <w:t>农村集体经济组织</w:t>
      </w:r>
      <w:r>
        <w:rPr>
          <w:rFonts w:ascii="Tahoma" w:hAnsi="Tahoma" w:eastAsia="方正仿宋_GBK"/>
          <w:kern w:val="0"/>
          <w:sz w:val="32"/>
        </w:rPr>
        <w:t>财务</w:t>
      </w:r>
      <w:r>
        <w:rPr>
          <w:rFonts w:hint="eastAsia" w:ascii="Tahoma" w:hAnsi="Tahoma" w:eastAsia="方正仿宋_GBK"/>
          <w:kern w:val="0"/>
          <w:sz w:val="32"/>
        </w:rPr>
        <w:t>的</w:t>
      </w:r>
      <w:r>
        <w:rPr>
          <w:rFonts w:ascii="Tahoma" w:hAnsi="Tahoma" w:eastAsia="方正仿宋_GBK"/>
          <w:kern w:val="0"/>
          <w:sz w:val="32"/>
        </w:rPr>
        <w:t>有效监督，促进</w:t>
      </w:r>
      <w:r>
        <w:rPr>
          <w:rFonts w:hint="eastAsia" w:ascii="Tahoma" w:hAnsi="Tahoma" w:eastAsia="方正仿宋_GBK"/>
          <w:kern w:val="0"/>
          <w:sz w:val="32"/>
        </w:rPr>
        <w:t>农村</w:t>
      </w:r>
      <w:r>
        <w:rPr>
          <w:rFonts w:ascii="Tahoma" w:hAnsi="Tahoma" w:eastAsia="方正仿宋_GBK"/>
          <w:kern w:val="0"/>
          <w:sz w:val="32"/>
        </w:rPr>
        <w:t>基层党风廉政建设，</w:t>
      </w:r>
      <w:r>
        <w:rPr>
          <w:rFonts w:hint="eastAsia" w:ascii="Tahoma" w:hAnsi="Tahoma" w:eastAsia="方正仿宋_GBK"/>
          <w:kern w:val="0"/>
          <w:sz w:val="32"/>
        </w:rPr>
        <w:t>切实维护广大</w:t>
      </w:r>
      <w:r>
        <w:rPr>
          <w:rFonts w:ascii="Tahoma" w:hAnsi="Tahoma" w:eastAsia="方正仿宋_GBK"/>
          <w:kern w:val="0"/>
          <w:sz w:val="32"/>
        </w:rPr>
        <w:t>农民群众的</w:t>
      </w:r>
      <w:r>
        <w:rPr>
          <w:rFonts w:hint="eastAsia" w:ascii="Tahoma" w:hAnsi="Tahoma" w:eastAsia="方正仿宋_GBK"/>
          <w:kern w:val="0"/>
          <w:sz w:val="32"/>
        </w:rPr>
        <w:t>合法权</w:t>
      </w:r>
      <w:r>
        <w:rPr>
          <w:rFonts w:ascii="Tahoma" w:hAnsi="Tahoma" w:eastAsia="方正仿宋_GBK"/>
          <w:kern w:val="0"/>
          <w:sz w:val="32"/>
        </w:rPr>
        <w:t>益，根据</w:t>
      </w:r>
      <w:r>
        <w:rPr>
          <w:rFonts w:hint="eastAsia" w:ascii="方正仿宋_GBK" w:hAnsi="Tahoma" w:eastAsia="方正仿宋_GBK"/>
          <w:kern w:val="0"/>
          <w:sz w:val="32"/>
        </w:rPr>
        <w:t>《会计法》、《重庆市农村集体资产管理条例》、《村集体经济组织会计制度》</w:t>
      </w:r>
      <w:r>
        <w:rPr>
          <w:rFonts w:ascii="Tahoma" w:hAnsi="Tahoma" w:eastAsia="方正仿宋_GBK"/>
          <w:kern w:val="0"/>
          <w:sz w:val="32"/>
        </w:rPr>
        <w:t>、</w:t>
      </w:r>
      <w:r>
        <w:rPr>
          <w:rFonts w:hint="eastAsia" w:ascii="方正仿宋_GBK" w:hAnsi="Tahoma" w:eastAsia="方正仿宋_GBK"/>
          <w:color w:val="000000"/>
          <w:kern w:val="0"/>
          <w:sz w:val="32"/>
          <w:szCs w:val="32"/>
        </w:rPr>
        <w:t>《重庆市涪陵区农村集体经济组织“三资”管理办法（试行）》</w:t>
      </w:r>
      <w:r>
        <w:rPr>
          <w:rFonts w:hint="eastAsia" w:ascii="Tahoma" w:hAnsi="Tahoma" w:eastAsia="方正仿宋_GBK"/>
          <w:kern w:val="0"/>
          <w:sz w:val="32"/>
        </w:rPr>
        <w:t>等法规和文件精神</w:t>
      </w:r>
      <w:r>
        <w:rPr>
          <w:rFonts w:ascii="Tahoma" w:hAnsi="Tahoma" w:eastAsia="方正仿宋_GBK"/>
          <w:kern w:val="0"/>
          <w:sz w:val="32"/>
        </w:rPr>
        <w:t>，结合本</w:t>
      </w:r>
      <w:r>
        <w:rPr>
          <w:rFonts w:hint="eastAsia" w:ascii="Tahoma" w:hAnsi="Tahoma" w:eastAsia="方正仿宋_GBK"/>
          <w:kern w:val="0"/>
          <w:sz w:val="32"/>
        </w:rPr>
        <w:t>乡</w:t>
      </w:r>
      <w:r>
        <w:rPr>
          <w:rFonts w:ascii="Tahoma" w:hAnsi="Tahoma" w:eastAsia="方正仿宋_GBK"/>
          <w:kern w:val="0"/>
          <w:sz w:val="32"/>
        </w:rPr>
        <w:t>实际，制定本办法。</w:t>
      </w:r>
    </w:p>
    <w:p>
      <w:pPr>
        <w:adjustRightInd w:val="0"/>
        <w:snapToGrid w:val="0"/>
        <w:spacing w:line="570" w:lineRule="exact"/>
        <w:ind w:firstLine="648" w:firstLineChars="202"/>
        <w:jc w:val="left"/>
        <w:rPr>
          <w:rFonts w:ascii="Tahoma" w:hAnsi="Tahoma" w:eastAsia="方正仿宋_GBK"/>
          <w:kern w:val="0"/>
          <w:sz w:val="32"/>
        </w:rPr>
      </w:pPr>
      <w:r>
        <w:rPr>
          <w:rFonts w:ascii="Tahoma" w:hAnsi="Tahoma" w:eastAsia="方正仿宋_GBK"/>
          <w:b/>
          <w:bCs/>
          <w:kern w:val="0"/>
          <w:sz w:val="32"/>
        </w:rPr>
        <w:t>第二条</w:t>
      </w:r>
      <w:r>
        <w:rPr>
          <w:rFonts w:hint="eastAsia" w:ascii="Tahoma" w:hAnsi="Tahoma" w:eastAsia="方正仿宋_GBK"/>
          <w:b/>
          <w:bCs/>
          <w:kern w:val="0"/>
          <w:sz w:val="32"/>
        </w:rPr>
        <w:t xml:space="preserve">  </w:t>
      </w:r>
      <w:r>
        <w:rPr>
          <w:rFonts w:ascii="Tahoma" w:hAnsi="Tahoma" w:eastAsia="方正仿宋_GBK"/>
          <w:kern w:val="0"/>
          <w:sz w:val="32"/>
        </w:rPr>
        <w:t>本办法适用于本</w:t>
      </w:r>
      <w:r>
        <w:rPr>
          <w:rFonts w:hint="eastAsia" w:ascii="Tahoma" w:hAnsi="Tahoma" w:eastAsia="方正仿宋_GBK"/>
          <w:kern w:val="0"/>
          <w:sz w:val="32"/>
        </w:rPr>
        <w:t>乡</w:t>
      </w:r>
      <w:r>
        <w:rPr>
          <w:rFonts w:ascii="Tahoma" w:hAnsi="Tahoma" w:eastAsia="方正仿宋_GBK"/>
          <w:kern w:val="0"/>
          <w:sz w:val="32"/>
        </w:rPr>
        <w:t>辖区内</w:t>
      </w:r>
      <w:r>
        <w:rPr>
          <w:rFonts w:hint="eastAsia" w:ascii="Tahoma" w:hAnsi="Tahoma" w:eastAsia="方正仿宋_GBK"/>
          <w:kern w:val="0"/>
          <w:sz w:val="32"/>
        </w:rPr>
        <w:t>的农村</w:t>
      </w:r>
      <w:r>
        <w:rPr>
          <w:rFonts w:ascii="Tahoma" w:hAnsi="Tahoma" w:eastAsia="方正仿宋_GBK"/>
          <w:kern w:val="0"/>
          <w:sz w:val="32"/>
        </w:rPr>
        <w:t>集体经济组织</w:t>
      </w:r>
      <w:r>
        <w:rPr>
          <w:rFonts w:hint="eastAsia" w:ascii="Tahoma" w:hAnsi="Tahoma" w:eastAsia="方正仿宋_GBK"/>
          <w:kern w:val="0"/>
          <w:sz w:val="32"/>
        </w:rPr>
        <w:t>（以下简称集体组织），包括</w:t>
      </w:r>
      <w:r>
        <w:rPr>
          <w:rFonts w:hint="eastAsia" w:ascii="方正仿宋_GBK" w:hAnsi="Tahoma" w:eastAsia="方正仿宋_GBK"/>
          <w:kern w:val="0"/>
          <w:sz w:val="32"/>
        </w:rPr>
        <w:t>村（居）民委员会及下辖的村民小组</w:t>
      </w:r>
      <w:r>
        <w:rPr>
          <w:rFonts w:ascii="Tahoma" w:hAnsi="Tahoma" w:eastAsia="方正仿宋_GBK"/>
          <w:kern w:val="0"/>
          <w:sz w:val="32"/>
        </w:rPr>
        <w:t>。</w:t>
      </w:r>
    </w:p>
    <w:p>
      <w:pPr>
        <w:adjustRightInd w:val="0"/>
        <w:snapToGrid w:val="0"/>
        <w:spacing w:line="570" w:lineRule="exact"/>
        <w:ind w:firstLine="648" w:firstLineChars="202"/>
        <w:jc w:val="left"/>
        <w:rPr>
          <w:rFonts w:ascii="Tahoma" w:hAnsi="Tahoma" w:eastAsia="方正仿宋_GBK"/>
          <w:kern w:val="0"/>
          <w:sz w:val="32"/>
        </w:rPr>
      </w:pPr>
      <w:r>
        <w:rPr>
          <w:rFonts w:ascii="Tahoma" w:hAnsi="Tahoma" w:eastAsia="方正仿宋_GBK"/>
          <w:b/>
          <w:bCs/>
          <w:kern w:val="0"/>
          <w:sz w:val="32"/>
        </w:rPr>
        <w:t>第三条</w:t>
      </w:r>
      <w:r>
        <w:rPr>
          <w:rFonts w:hint="eastAsia" w:ascii="Tahoma" w:hAnsi="Tahoma" w:eastAsia="方正仿宋_GBK"/>
          <w:b/>
          <w:bCs/>
          <w:kern w:val="0"/>
          <w:sz w:val="32"/>
        </w:rPr>
        <w:t xml:space="preserve">  </w:t>
      </w:r>
      <w:r>
        <w:rPr>
          <w:rFonts w:hint="eastAsia" w:ascii="Tahoma" w:hAnsi="Tahoma" w:eastAsia="方正仿宋_GBK"/>
          <w:kern w:val="0"/>
          <w:sz w:val="32"/>
        </w:rPr>
        <w:t>集体组织</w:t>
      </w:r>
      <w:r>
        <w:rPr>
          <w:rFonts w:ascii="Tahoma" w:hAnsi="Tahoma" w:eastAsia="方正仿宋_GBK"/>
          <w:kern w:val="0"/>
          <w:sz w:val="32"/>
        </w:rPr>
        <w:t>财务管理</w:t>
      </w:r>
      <w:r>
        <w:rPr>
          <w:rFonts w:hint="eastAsia" w:ascii="Tahoma" w:hAnsi="Tahoma" w:eastAsia="方正仿宋_GBK"/>
          <w:kern w:val="0"/>
          <w:sz w:val="32"/>
        </w:rPr>
        <w:t>实行</w:t>
      </w:r>
      <w:r>
        <w:rPr>
          <w:rFonts w:hint="eastAsia" w:ascii="方正仿宋_GBK" w:hAnsi="Tahoma" w:eastAsia="方正仿宋_GBK"/>
          <w:kern w:val="0"/>
          <w:sz w:val="32"/>
        </w:rPr>
        <w:t>委托代理制度，</w:t>
      </w:r>
      <w:r>
        <w:rPr>
          <w:rFonts w:ascii="Tahoma" w:hAnsi="Tahoma" w:eastAsia="方正仿宋_GBK"/>
          <w:kern w:val="0"/>
          <w:sz w:val="32"/>
        </w:rPr>
        <w:t>具体</w:t>
      </w:r>
      <w:r>
        <w:rPr>
          <w:rFonts w:hint="eastAsia" w:ascii="Tahoma" w:hAnsi="Tahoma" w:eastAsia="方正仿宋_GBK"/>
          <w:kern w:val="0"/>
          <w:sz w:val="32"/>
        </w:rPr>
        <w:t>管理和监督</w:t>
      </w:r>
      <w:r>
        <w:rPr>
          <w:rFonts w:ascii="Tahoma" w:hAnsi="Tahoma" w:eastAsia="方正仿宋_GBK"/>
          <w:kern w:val="0"/>
          <w:sz w:val="32"/>
        </w:rPr>
        <w:t>工作由</w:t>
      </w:r>
      <w:r>
        <w:rPr>
          <w:rFonts w:hint="eastAsia" w:ascii="方正仿宋_GBK" w:hAnsi="Tahoma" w:eastAsia="方正仿宋_GBK"/>
          <w:kern w:val="0"/>
          <w:sz w:val="32"/>
        </w:rPr>
        <w:t>乡财务代理服务中心（以下简称代理中心）</w:t>
      </w:r>
      <w:r>
        <w:rPr>
          <w:rFonts w:ascii="Tahoma" w:hAnsi="Tahoma" w:eastAsia="方正仿宋_GBK"/>
          <w:kern w:val="0"/>
          <w:sz w:val="32"/>
        </w:rPr>
        <w:t>承担，分村</w:t>
      </w:r>
      <w:r>
        <w:rPr>
          <w:rFonts w:hint="eastAsia" w:ascii="Tahoma" w:hAnsi="Tahoma" w:eastAsia="方正仿宋_GBK"/>
          <w:kern w:val="0"/>
          <w:sz w:val="32"/>
        </w:rPr>
        <w:t>（居）</w:t>
      </w:r>
      <w:r>
        <w:rPr>
          <w:rFonts w:ascii="Tahoma" w:hAnsi="Tahoma" w:eastAsia="方正仿宋_GBK"/>
          <w:kern w:val="0"/>
          <w:sz w:val="32"/>
        </w:rPr>
        <w:t>独立核算</w:t>
      </w:r>
      <w:r>
        <w:rPr>
          <w:rFonts w:hint="eastAsia" w:ascii="Tahoma" w:hAnsi="Tahoma" w:eastAsia="方正仿宋_GBK"/>
          <w:kern w:val="0"/>
          <w:sz w:val="32"/>
        </w:rPr>
        <w:t>，</w:t>
      </w:r>
      <w:r>
        <w:rPr>
          <w:rFonts w:hint="eastAsia" w:ascii="方正仿宋_GBK" w:hAnsi="Tahoma" w:eastAsia="方正仿宋_GBK"/>
          <w:kern w:val="0"/>
          <w:sz w:val="32"/>
        </w:rPr>
        <w:t>代理集体组织会计核算和资金监管，定期培训</w:t>
      </w:r>
      <w:r>
        <w:rPr>
          <w:rFonts w:hint="eastAsia" w:ascii="方正仿宋_GBK" w:hAnsi="Tahoma" w:eastAsia="方正仿宋_GBK"/>
          <w:kern w:val="0"/>
          <w:sz w:val="32"/>
          <w:szCs w:val="32"/>
        </w:rPr>
        <w:t>农村集体财务人员和民主监督人员</w:t>
      </w:r>
      <w:r>
        <w:rPr>
          <w:rFonts w:hint="eastAsia" w:ascii="方正仿宋_GBK" w:hAnsi="Tahoma" w:eastAsia="方正仿宋_GBK"/>
          <w:kern w:val="0"/>
          <w:sz w:val="32"/>
        </w:rPr>
        <w:t>。</w:t>
      </w:r>
    </w:p>
    <w:p>
      <w:pPr>
        <w:adjustRightInd w:val="0"/>
        <w:snapToGrid w:val="0"/>
        <w:spacing w:line="570" w:lineRule="exact"/>
        <w:ind w:firstLine="648" w:firstLineChars="202"/>
        <w:jc w:val="left"/>
        <w:rPr>
          <w:rFonts w:ascii="方正仿宋_GBK" w:hAnsi="Tahoma" w:eastAsia="方正仿宋_GBK"/>
          <w:kern w:val="0"/>
          <w:sz w:val="32"/>
          <w:szCs w:val="32"/>
        </w:rPr>
      </w:pPr>
      <w:r>
        <w:rPr>
          <w:rFonts w:ascii="Tahoma" w:hAnsi="Tahoma" w:eastAsia="方正仿宋_GBK"/>
          <w:b/>
          <w:bCs/>
          <w:kern w:val="0"/>
          <w:sz w:val="32"/>
        </w:rPr>
        <w:t>第</w:t>
      </w:r>
      <w:r>
        <w:rPr>
          <w:rFonts w:hint="eastAsia" w:ascii="Tahoma" w:hAnsi="Tahoma" w:eastAsia="方正仿宋_GBK"/>
          <w:b/>
          <w:bCs/>
          <w:kern w:val="0"/>
          <w:sz w:val="32"/>
        </w:rPr>
        <w:t>四</w:t>
      </w:r>
      <w:r>
        <w:rPr>
          <w:rFonts w:ascii="Tahoma" w:hAnsi="Tahoma" w:eastAsia="方正仿宋_GBK"/>
          <w:b/>
          <w:bCs/>
          <w:kern w:val="0"/>
          <w:sz w:val="32"/>
        </w:rPr>
        <w:t>条</w:t>
      </w:r>
      <w:r>
        <w:rPr>
          <w:rFonts w:hint="eastAsia" w:ascii="Tahoma" w:hAnsi="Tahoma" w:eastAsia="方正仿宋_GBK"/>
          <w:kern w:val="0"/>
          <w:sz w:val="32"/>
        </w:rPr>
        <w:t xml:space="preserve">  集体组织财务</w:t>
      </w:r>
      <w:r>
        <w:rPr>
          <w:rFonts w:ascii="Tahoma" w:hAnsi="Tahoma" w:eastAsia="方正仿宋_GBK"/>
          <w:kern w:val="0"/>
          <w:sz w:val="32"/>
        </w:rPr>
        <w:t>在</w:t>
      </w:r>
      <w:r>
        <w:rPr>
          <w:rFonts w:hint="eastAsia" w:ascii="Tahoma" w:hAnsi="Tahoma" w:eastAsia="方正仿宋_GBK"/>
          <w:kern w:val="0"/>
          <w:sz w:val="32"/>
        </w:rPr>
        <w:t>代理</w:t>
      </w:r>
      <w:r>
        <w:rPr>
          <w:rFonts w:ascii="Tahoma" w:hAnsi="Tahoma" w:eastAsia="方正仿宋_GBK"/>
          <w:kern w:val="0"/>
          <w:sz w:val="32"/>
        </w:rPr>
        <w:t>中心实行报账制管理</w:t>
      </w:r>
      <w:r>
        <w:rPr>
          <w:rFonts w:hint="eastAsia" w:ascii="Tahoma" w:hAnsi="Tahoma" w:eastAsia="方正仿宋_GBK"/>
          <w:kern w:val="0"/>
          <w:sz w:val="32"/>
        </w:rPr>
        <w:t>，各</w:t>
      </w:r>
      <w:r>
        <w:rPr>
          <w:rFonts w:hint="eastAsia" w:ascii="方正仿宋_GBK" w:hAnsi="Tahoma" w:eastAsia="方正仿宋_GBK"/>
          <w:kern w:val="0"/>
          <w:sz w:val="32"/>
        </w:rPr>
        <w:t>村（居）设立一名报账员，负责集体组织日常财务收支管理工作，报账员应具备财会专业知识，集体组织主要负责人及其亲属不得担任报账员。</w:t>
      </w:r>
    </w:p>
    <w:p>
      <w:pPr>
        <w:adjustRightInd w:val="0"/>
        <w:snapToGrid w:val="0"/>
        <w:spacing w:line="570" w:lineRule="exact"/>
        <w:ind w:firstLine="648" w:firstLineChars="202"/>
        <w:jc w:val="left"/>
        <w:rPr>
          <w:rFonts w:ascii="Tahoma" w:hAnsi="Tahoma" w:eastAsia="方正仿宋_GBK"/>
          <w:kern w:val="0"/>
          <w:sz w:val="32"/>
        </w:rPr>
      </w:pPr>
      <w:r>
        <w:rPr>
          <w:rFonts w:ascii="Tahoma" w:hAnsi="Tahoma" w:eastAsia="方正仿宋_GBK"/>
          <w:b/>
          <w:bCs/>
          <w:kern w:val="0"/>
          <w:sz w:val="32"/>
        </w:rPr>
        <w:t>第</w:t>
      </w:r>
      <w:r>
        <w:rPr>
          <w:rFonts w:hint="eastAsia" w:ascii="Tahoma" w:hAnsi="Tahoma" w:eastAsia="方正仿宋_GBK"/>
          <w:b/>
          <w:bCs/>
          <w:kern w:val="0"/>
          <w:sz w:val="32"/>
        </w:rPr>
        <w:t>五</w:t>
      </w:r>
      <w:r>
        <w:rPr>
          <w:rFonts w:ascii="Tahoma" w:hAnsi="Tahoma" w:eastAsia="方正仿宋_GBK"/>
          <w:b/>
          <w:bCs/>
          <w:kern w:val="0"/>
          <w:sz w:val="32"/>
        </w:rPr>
        <w:t>条</w:t>
      </w:r>
      <w:r>
        <w:rPr>
          <w:rFonts w:hint="eastAsia" w:ascii="Tahoma" w:hAnsi="Tahoma" w:eastAsia="方正仿宋_GBK"/>
          <w:b/>
          <w:bCs/>
          <w:kern w:val="0"/>
          <w:sz w:val="32"/>
        </w:rPr>
        <w:t xml:space="preserve"> </w:t>
      </w:r>
      <w:r>
        <w:rPr>
          <w:rFonts w:hint="eastAsia" w:ascii="Tahoma" w:hAnsi="Tahoma" w:eastAsia="方正仿宋_GBK"/>
          <w:kern w:val="0"/>
          <w:sz w:val="32"/>
        </w:rPr>
        <w:t xml:space="preserve"> 集体组织资金实行收支两条线管理，集体组织</w:t>
      </w:r>
      <w:r>
        <w:rPr>
          <w:rFonts w:ascii="Tahoma" w:hAnsi="Tahoma" w:eastAsia="方正仿宋_GBK"/>
          <w:kern w:val="0"/>
          <w:sz w:val="32"/>
        </w:rPr>
        <w:t>所有资金的收入和支出要全部纳入</w:t>
      </w:r>
      <w:r>
        <w:rPr>
          <w:rFonts w:hint="eastAsia" w:ascii="Tahoma" w:hAnsi="Tahoma" w:eastAsia="方正仿宋_GBK"/>
          <w:kern w:val="0"/>
          <w:sz w:val="32"/>
        </w:rPr>
        <w:t>代理</w:t>
      </w:r>
      <w:r>
        <w:rPr>
          <w:rFonts w:ascii="Tahoma" w:hAnsi="Tahoma" w:eastAsia="方正仿宋_GBK"/>
          <w:kern w:val="0"/>
          <w:sz w:val="32"/>
        </w:rPr>
        <w:t>中心专户监管</w:t>
      </w:r>
      <w:r>
        <w:rPr>
          <w:rFonts w:hint="eastAsia" w:ascii="Tahoma" w:hAnsi="Tahoma" w:eastAsia="方正仿宋_GBK"/>
          <w:kern w:val="0"/>
          <w:sz w:val="32"/>
        </w:rPr>
        <w:t>，严禁</w:t>
      </w:r>
      <w:r>
        <w:rPr>
          <w:rFonts w:ascii="Tahoma" w:hAnsi="Tahoma" w:eastAsia="方正仿宋_GBK"/>
          <w:kern w:val="0"/>
          <w:sz w:val="32"/>
        </w:rPr>
        <w:t>账外账</w:t>
      </w:r>
      <w:r>
        <w:rPr>
          <w:rFonts w:hint="eastAsia" w:ascii="Tahoma" w:hAnsi="Tahoma" w:eastAsia="方正仿宋_GBK"/>
          <w:kern w:val="0"/>
          <w:sz w:val="32"/>
        </w:rPr>
        <w:t>，</w:t>
      </w:r>
      <w:r>
        <w:rPr>
          <w:rFonts w:ascii="Tahoma" w:hAnsi="Tahoma" w:eastAsia="方正仿宋_GBK"/>
          <w:kern w:val="0"/>
          <w:sz w:val="32"/>
        </w:rPr>
        <w:t>严禁私设</w:t>
      </w:r>
      <w:r>
        <w:rPr>
          <w:rFonts w:hint="eastAsia" w:ascii="Tahoma" w:hAnsi="Tahoma" w:eastAsia="方正仿宋_GBK"/>
          <w:kern w:val="0"/>
          <w:sz w:val="32"/>
        </w:rPr>
        <w:t>“</w:t>
      </w:r>
      <w:r>
        <w:rPr>
          <w:rFonts w:ascii="Tahoma" w:hAnsi="Tahoma" w:eastAsia="方正仿宋_GBK"/>
          <w:kern w:val="0"/>
          <w:sz w:val="32"/>
        </w:rPr>
        <w:t>小金库</w:t>
      </w:r>
      <w:r>
        <w:rPr>
          <w:rFonts w:hint="eastAsia" w:ascii="Tahoma" w:hAnsi="Tahoma" w:eastAsia="方正仿宋_GBK"/>
          <w:kern w:val="0"/>
          <w:sz w:val="32"/>
        </w:rPr>
        <w:t>”，严禁公款私存。</w:t>
      </w:r>
    </w:p>
    <w:p>
      <w:pPr>
        <w:adjustRightInd w:val="0"/>
        <w:snapToGrid w:val="0"/>
        <w:spacing w:line="560" w:lineRule="exact"/>
        <w:ind w:firstLine="648" w:firstLineChars="202"/>
        <w:jc w:val="left"/>
        <w:rPr>
          <w:rFonts w:ascii="方正仿宋_GBK" w:hAnsi="方正仿宋_GBK" w:eastAsia="方正仿宋_GBK" w:cs="方正仿宋_GBK"/>
          <w:kern w:val="0"/>
          <w:sz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</w:rPr>
        <w:t xml:space="preserve">第六条  </w:t>
      </w:r>
      <w:r>
        <w:rPr>
          <w:rFonts w:hint="eastAsia" w:ascii="方正仿宋_GBK" w:hAnsi="方正仿宋_GBK" w:eastAsia="方正仿宋_GBK" w:cs="方正仿宋_GBK"/>
          <w:kern w:val="0"/>
          <w:sz w:val="32"/>
        </w:rPr>
        <w:t>集体组织实行民主理财制度，民主理财活动由村（居）务监督委员会（以下简称监委会）组织实施。监委会要切实加强对集体组织财务的民主监督，充分发挥民主理财的作用，保证农民群众对集体财务的知情权、参与权、表达权和监督权。</w:t>
      </w:r>
    </w:p>
    <w:p>
      <w:pPr>
        <w:adjustRightInd w:val="0"/>
        <w:snapToGrid w:val="0"/>
        <w:spacing w:line="570" w:lineRule="exact"/>
        <w:ind w:firstLine="642" w:firstLineChars="200"/>
        <w:jc w:val="left"/>
        <w:rPr>
          <w:rFonts w:ascii="方正仿宋_GBK" w:hAnsi="方正仿宋_GBK" w:eastAsia="方正仿宋_GBK" w:cs="方正仿宋_GBK"/>
          <w:kern w:val="0"/>
          <w:sz w:val="32"/>
        </w:rPr>
      </w:pPr>
      <w:r>
        <w:rPr>
          <w:rFonts w:hint="eastAsia" w:ascii="Tahoma" w:hAnsi="Tahoma" w:eastAsia="方正仿宋_GBK"/>
          <w:b/>
          <w:bCs/>
          <w:kern w:val="0"/>
          <w:sz w:val="32"/>
        </w:rPr>
        <w:t xml:space="preserve">第七条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集体组织资金收付</w:t>
      </w:r>
      <w:r>
        <w:rPr>
          <w:rFonts w:hint="eastAsia" w:ascii="方正仿宋_GBK" w:hAnsi="Tahoma" w:eastAsia="方正仿宋_GBK"/>
          <w:kern w:val="0"/>
          <w:sz w:val="32"/>
          <w:szCs w:val="32"/>
        </w:rPr>
        <w:t>一律由村（居）报账员收取和管理，其他任何人员不得经管货币资金和票据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，</w:t>
      </w:r>
      <w:r>
        <w:rPr>
          <w:rFonts w:hint="eastAsia" w:ascii="Tahoma" w:hAnsi="Tahoma" w:eastAsia="方正仿宋_GBK"/>
          <w:kern w:val="0"/>
          <w:sz w:val="32"/>
        </w:rPr>
        <w:t>报账员应于每</w:t>
      </w:r>
      <w:r>
        <w:rPr>
          <w:rFonts w:hint="eastAsia" w:ascii="方正仿宋_GBK" w:hAnsi="方正仿宋_GBK" w:eastAsia="方正仿宋_GBK" w:cs="方正仿宋_GBK"/>
          <w:kern w:val="0"/>
          <w:sz w:val="32"/>
        </w:rPr>
        <w:t>月1日至10日期</w:t>
      </w:r>
      <w:r>
        <w:rPr>
          <w:rFonts w:hint="eastAsia" w:ascii="Tahoma" w:hAnsi="Tahoma" w:eastAsia="方正仿宋_GBK"/>
          <w:kern w:val="0"/>
          <w:sz w:val="32"/>
        </w:rPr>
        <w:t>间按月与代理中心完成报账工作，并核报收支账目，同时盘点余额，保证账款、账账相符。</w:t>
      </w:r>
    </w:p>
    <w:p>
      <w:pPr>
        <w:adjustRightInd w:val="0"/>
        <w:snapToGrid w:val="0"/>
        <w:spacing w:line="570" w:lineRule="exact"/>
        <w:ind w:firstLine="648" w:firstLineChars="202"/>
        <w:jc w:val="left"/>
        <w:rPr>
          <w:rFonts w:ascii="方正仿宋_GBK" w:hAnsi="Tahoma" w:eastAsia="方正仿宋_GBK"/>
          <w:kern w:val="0"/>
          <w:sz w:val="32"/>
        </w:rPr>
      </w:pPr>
      <w:r>
        <w:rPr>
          <w:rFonts w:hint="eastAsia" w:ascii="Tahoma" w:hAnsi="Tahoma" w:eastAsia="方正仿宋_GBK"/>
          <w:b/>
          <w:bCs/>
          <w:kern w:val="0"/>
          <w:sz w:val="32"/>
        </w:rPr>
        <w:t>第八条</w:t>
      </w:r>
      <w:r>
        <w:rPr>
          <w:rFonts w:hint="eastAsia" w:ascii="Tahoma" w:hAnsi="Tahoma" w:eastAsia="方正仿宋_GBK"/>
          <w:kern w:val="0"/>
          <w:sz w:val="32"/>
        </w:rPr>
        <w:t xml:space="preserve">  集体组织各项收入由报账员在收到款项后</w:t>
      </w:r>
      <w:r>
        <w:rPr>
          <w:rFonts w:hint="eastAsia" w:ascii="方正仿宋_GBK" w:hAnsi="方正仿宋_GBK" w:eastAsia="方正仿宋_GBK" w:cs="方正仿宋_GBK"/>
          <w:kern w:val="0"/>
          <w:sz w:val="32"/>
        </w:rPr>
        <w:t>24</w:t>
      </w:r>
      <w:r>
        <w:rPr>
          <w:rFonts w:hint="eastAsia" w:ascii="Tahoma" w:hAnsi="Tahoma" w:eastAsia="方正仿宋_GBK"/>
          <w:kern w:val="0"/>
          <w:sz w:val="32"/>
        </w:rPr>
        <w:t>小时内全额转入代理中心账户，并详细</w:t>
      </w:r>
      <w:r>
        <w:rPr>
          <w:rFonts w:hint="eastAsia" w:ascii="方正仿宋_GBK" w:hAnsi="Tahoma" w:eastAsia="方正仿宋_GBK"/>
          <w:kern w:val="0"/>
          <w:sz w:val="32"/>
        </w:rPr>
        <w:t>载明资金来源及所属集体组织名称，禁止保存现金和坐支现金。</w:t>
      </w:r>
    </w:p>
    <w:p>
      <w:pPr>
        <w:adjustRightInd w:val="0"/>
        <w:snapToGrid w:val="0"/>
        <w:spacing w:line="570" w:lineRule="exact"/>
        <w:ind w:firstLine="648" w:firstLineChars="202"/>
        <w:jc w:val="left"/>
        <w:rPr>
          <w:rFonts w:ascii="Tahoma" w:hAnsi="Tahoma" w:eastAsia="方正仿宋_GBK"/>
          <w:kern w:val="0"/>
          <w:sz w:val="32"/>
        </w:rPr>
      </w:pPr>
      <w:r>
        <w:rPr>
          <w:rFonts w:hint="eastAsia" w:ascii="Tahoma" w:hAnsi="Tahoma" w:eastAsia="方正仿宋_GBK"/>
          <w:b/>
          <w:bCs/>
          <w:kern w:val="0"/>
          <w:sz w:val="32"/>
        </w:rPr>
        <w:t>第九条</w:t>
      </w:r>
      <w:r>
        <w:rPr>
          <w:rFonts w:hint="eastAsia" w:ascii="Tahoma" w:hAnsi="Tahoma" w:eastAsia="方正仿宋_GBK"/>
          <w:kern w:val="0"/>
          <w:sz w:val="32"/>
        </w:rPr>
        <w:t xml:space="preserve">  集体组织的一切收支实行每月结报制度，</w:t>
      </w:r>
      <w:r>
        <w:rPr>
          <w:rFonts w:ascii="Tahoma" w:hAnsi="Tahoma" w:eastAsia="方正仿宋_GBK"/>
          <w:kern w:val="0"/>
          <w:sz w:val="32"/>
        </w:rPr>
        <w:t>报账员设现金日记账</w:t>
      </w:r>
      <w:r>
        <w:rPr>
          <w:rFonts w:hint="eastAsia" w:ascii="Tahoma" w:hAnsi="Tahoma" w:eastAsia="方正仿宋_GBK"/>
          <w:kern w:val="0"/>
          <w:sz w:val="32"/>
        </w:rPr>
        <w:t>，</w:t>
      </w:r>
      <w:r>
        <w:rPr>
          <w:rFonts w:ascii="Tahoma" w:hAnsi="Tahoma" w:eastAsia="方正仿宋_GBK"/>
          <w:kern w:val="0"/>
          <w:sz w:val="32"/>
        </w:rPr>
        <w:t>做到日清月结</w:t>
      </w:r>
      <w:r>
        <w:rPr>
          <w:rFonts w:hint="eastAsia" w:ascii="Tahoma" w:hAnsi="Tahoma" w:eastAsia="方正仿宋_GBK"/>
          <w:kern w:val="0"/>
          <w:sz w:val="32"/>
        </w:rPr>
        <w:t>。</w:t>
      </w:r>
    </w:p>
    <w:p>
      <w:pPr>
        <w:adjustRightInd w:val="0"/>
        <w:snapToGrid w:val="0"/>
        <w:spacing w:line="570" w:lineRule="exact"/>
        <w:ind w:firstLine="648" w:firstLineChars="202"/>
        <w:jc w:val="left"/>
        <w:rPr>
          <w:rFonts w:ascii="Tahoma" w:hAnsi="Tahoma" w:eastAsia="方正仿宋_GBK"/>
          <w:kern w:val="0"/>
          <w:sz w:val="32"/>
        </w:rPr>
      </w:pPr>
      <w:r>
        <w:rPr>
          <w:rFonts w:hint="eastAsia" w:ascii="Tahoma" w:hAnsi="Tahoma" w:eastAsia="方正仿宋_GBK"/>
          <w:b/>
          <w:bCs/>
          <w:kern w:val="0"/>
          <w:sz w:val="32"/>
        </w:rPr>
        <w:t>第十条</w:t>
      </w:r>
      <w:r>
        <w:rPr>
          <w:rFonts w:hint="eastAsia" w:ascii="Tahoma" w:hAnsi="Tahoma" w:eastAsia="方正仿宋_GBK"/>
          <w:kern w:val="0"/>
          <w:sz w:val="32"/>
        </w:rPr>
        <w:t xml:space="preserve">  集体组织各项支付</w:t>
      </w:r>
      <w:r>
        <w:rPr>
          <w:rFonts w:ascii="Tahoma" w:hAnsi="Tahoma" w:eastAsia="方正仿宋_GBK"/>
          <w:kern w:val="0"/>
          <w:sz w:val="32"/>
        </w:rPr>
        <w:t>票据应在</w:t>
      </w:r>
      <w:r>
        <w:rPr>
          <w:rFonts w:hint="eastAsia" w:ascii="Tahoma" w:hAnsi="Tahoma" w:eastAsia="方正仿宋_GBK"/>
          <w:kern w:val="0"/>
          <w:sz w:val="32"/>
        </w:rPr>
        <w:t>支出发生后</w:t>
      </w:r>
      <w:r>
        <w:rPr>
          <w:rFonts w:ascii="Tahoma" w:hAnsi="Tahoma" w:eastAsia="方正仿宋_GBK"/>
          <w:kern w:val="0"/>
          <w:sz w:val="32"/>
        </w:rPr>
        <w:t>一个月内</w:t>
      </w:r>
      <w:r>
        <w:rPr>
          <w:rFonts w:hint="eastAsia" w:ascii="Tahoma" w:hAnsi="Tahoma" w:eastAsia="方正仿宋_GBK"/>
          <w:kern w:val="0"/>
          <w:sz w:val="32"/>
        </w:rPr>
        <w:t>完成</w:t>
      </w:r>
      <w:r>
        <w:rPr>
          <w:rFonts w:ascii="Tahoma" w:hAnsi="Tahoma" w:eastAsia="方正仿宋_GBK"/>
          <w:kern w:val="0"/>
          <w:sz w:val="32"/>
        </w:rPr>
        <w:t>报账</w:t>
      </w:r>
      <w:r>
        <w:rPr>
          <w:rFonts w:hint="eastAsia" w:ascii="Tahoma" w:hAnsi="Tahoma" w:eastAsia="方正仿宋_GBK"/>
          <w:kern w:val="0"/>
          <w:sz w:val="32"/>
        </w:rPr>
        <w:t>，</w:t>
      </w:r>
      <w:r>
        <w:rPr>
          <w:rFonts w:ascii="Tahoma" w:hAnsi="Tahoma" w:eastAsia="方正仿宋_GBK"/>
          <w:kern w:val="0"/>
          <w:sz w:val="32"/>
        </w:rPr>
        <w:t>凡</w:t>
      </w:r>
      <w:r>
        <w:rPr>
          <w:rFonts w:hint="eastAsia" w:ascii="Tahoma" w:hAnsi="Tahoma" w:eastAsia="方正仿宋_GBK"/>
          <w:kern w:val="0"/>
          <w:sz w:val="32"/>
        </w:rPr>
        <w:t>超出期限还未</w:t>
      </w:r>
      <w:r>
        <w:rPr>
          <w:rFonts w:ascii="Tahoma" w:hAnsi="Tahoma" w:eastAsia="方正仿宋_GBK"/>
          <w:kern w:val="0"/>
          <w:sz w:val="32"/>
        </w:rPr>
        <w:t>报账的，</w:t>
      </w:r>
      <w:r>
        <w:rPr>
          <w:rFonts w:hint="eastAsia" w:ascii="Tahoma" w:hAnsi="Tahoma" w:eastAsia="方正仿宋_GBK"/>
          <w:kern w:val="0"/>
          <w:sz w:val="32"/>
        </w:rPr>
        <w:t>须村（居）委会作书面说明并经监委会主任核实签字并盖章，报代理中心审核后予以支付，否则不予报销。</w:t>
      </w:r>
    </w:p>
    <w:p>
      <w:pPr>
        <w:adjustRightInd w:val="0"/>
        <w:snapToGrid w:val="0"/>
        <w:spacing w:line="570" w:lineRule="exact"/>
        <w:ind w:firstLine="648" w:firstLineChars="202"/>
        <w:jc w:val="left"/>
        <w:rPr>
          <w:rFonts w:ascii="方正仿宋_GBK" w:hAnsi="Tahoma" w:eastAsia="方正仿宋_GBK"/>
          <w:kern w:val="0"/>
          <w:sz w:val="32"/>
          <w:szCs w:val="32"/>
        </w:rPr>
      </w:pPr>
      <w:r>
        <w:rPr>
          <w:rFonts w:ascii="Tahoma" w:hAnsi="Tahoma" w:eastAsia="方正仿宋_GBK"/>
          <w:b/>
          <w:bCs/>
          <w:kern w:val="0"/>
          <w:sz w:val="32"/>
        </w:rPr>
        <w:t>第</w:t>
      </w:r>
      <w:r>
        <w:rPr>
          <w:rFonts w:hint="eastAsia" w:ascii="Tahoma" w:hAnsi="Tahoma" w:eastAsia="方正仿宋_GBK"/>
          <w:b/>
          <w:bCs/>
          <w:kern w:val="0"/>
          <w:sz w:val="32"/>
        </w:rPr>
        <w:t>十一</w:t>
      </w:r>
      <w:r>
        <w:rPr>
          <w:rFonts w:ascii="Tahoma" w:hAnsi="Tahoma" w:eastAsia="方正仿宋_GBK"/>
          <w:b/>
          <w:bCs/>
          <w:kern w:val="0"/>
          <w:sz w:val="32"/>
        </w:rPr>
        <w:t>条</w:t>
      </w:r>
      <w:r>
        <w:rPr>
          <w:rFonts w:hint="eastAsia" w:ascii="Tahoma" w:hAnsi="Tahoma" w:eastAsia="方正仿宋_GBK"/>
          <w:b/>
          <w:bCs/>
          <w:kern w:val="0"/>
          <w:sz w:val="32"/>
        </w:rPr>
        <w:t xml:space="preserve">  </w:t>
      </w:r>
      <w:r>
        <w:rPr>
          <w:rFonts w:hint="eastAsia" w:ascii="Tahoma" w:hAnsi="Tahoma" w:eastAsia="方正仿宋_GBK"/>
          <w:kern w:val="0"/>
          <w:sz w:val="32"/>
        </w:rPr>
        <w:t>集体组织各项</w:t>
      </w:r>
      <w:r>
        <w:rPr>
          <w:rFonts w:ascii="Tahoma" w:hAnsi="Tahoma" w:eastAsia="方正仿宋_GBK"/>
          <w:kern w:val="0"/>
          <w:sz w:val="32"/>
        </w:rPr>
        <w:t>收</w:t>
      </w:r>
      <w:r>
        <w:rPr>
          <w:rFonts w:hint="eastAsia" w:ascii="Tahoma" w:hAnsi="Tahoma" w:eastAsia="方正仿宋_GBK"/>
          <w:kern w:val="0"/>
          <w:sz w:val="32"/>
        </w:rPr>
        <w:t>支结算</w:t>
      </w:r>
      <w:r>
        <w:rPr>
          <w:rFonts w:ascii="Tahoma" w:hAnsi="Tahoma" w:eastAsia="方正仿宋_GBK"/>
          <w:kern w:val="0"/>
          <w:sz w:val="32"/>
        </w:rPr>
        <w:t>，</w:t>
      </w:r>
      <w:r>
        <w:rPr>
          <w:rFonts w:hint="eastAsia" w:ascii="Tahoma" w:hAnsi="Tahoma" w:eastAsia="方正仿宋_GBK"/>
          <w:kern w:val="0"/>
          <w:sz w:val="32"/>
        </w:rPr>
        <w:t>必须</w:t>
      </w:r>
      <w:r>
        <w:rPr>
          <w:rFonts w:hint="eastAsia" w:ascii="方正仿宋_GBK" w:hAnsi="Tahoma" w:eastAsia="方正仿宋_GBK"/>
          <w:kern w:val="0"/>
          <w:sz w:val="32"/>
          <w:szCs w:val="32"/>
        </w:rPr>
        <w:t>使用合法有效的原始凭证，包括发票、财政票据和市农委监制的农村集体组织专用票据。农村集体组织专用票据只能用于确实不能获得原始凭证的临时、零星性支出事项，并要取得收款人的原始手续和支出明细为附件。</w:t>
      </w:r>
    </w:p>
    <w:p>
      <w:pPr>
        <w:adjustRightInd w:val="0"/>
        <w:snapToGrid w:val="0"/>
        <w:spacing w:line="570" w:lineRule="exact"/>
        <w:ind w:firstLine="648" w:firstLineChars="202"/>
        <w:jc w:val="left"/>
        <w:rPr>
          <w:rFonts w:ascii="Tahoma" w:hAnsi="Tahoma" w:eastAsia="方正仿宋_GBK"/>
          <w:kern w:val="0"/>
          <w:sz w:val="32"/>
        </w:rPr>
      </w:pPr>
      <w:r>
        <w:rPr>
          <w:rFonts w:ascii="Tahoma" w:hAnsi="Tahoma" w:eastAsia="方正仿宋_GBK"/>
          <w:b/>
          <w:bCs/>
          <w:kern w:val="0"/>
          <w:sz w:val="32"/>
        </w:rPr>
        <w:t>第十</w:t>
      </w:r>
      <w:r>
        <w:rPr>
          <w:rFonts w:hint="eastAsia" w:ascii="Tahoma" w:hAnsi="Tahoma" w:eastAsia="方正仿宋_GBK"/>
          <w:b/>
          <w:bCs/>
          <w:kern w:val="0"/>
          <w:sz w:val="32"/>
        </w:rPr>
        <w:t>二</w:t>
      </w:r>
      <w:r>
        <w:rPr>
          <w:rFonts w:ascii="Tahoma" w:hAnsi="Tahoma" w:eastAsia="方正仿宋_GBK"/>
          <w:b/>
          <w:bCs/>
          <w:kern w:val="0"/>
          <w:sz w:val="32"/>
        </w:rPr>
        <w:t>条</w:t>
      </w:r>
      <w:r>
        <w:rPr>
          <w:rFonts w:hint="eastAsia" w:ascii="Tahoma" w:hAnsi="Tahoma" w:eastAsia="方正仿宋_GBK"/>
          <w:b/>
          <w:bCs/>
          <w:kern w:val="0"/>
          <w:sz w:val="32"/>
        </w:rPr>
        <w:t xml:space="preserve">  </w:t>
      </w:r>
      <w:r>
        <w:rPr>
          <w:rFonts w:hint="eastAsia" w:ascii="Tahoma" w:hAnsi="Tahoma" w:eastAsia="方正仿宋_GBK"/>
          <w:kern w:val="0"/>
          <w:sz w:val="32"/>
        </w:rPr>
        <w:t>代理</w:t>
      </w:r>
      <w:r>
        <w:rPr>
          <w:rFonts w:ascii="Tahoma" w:hAnsi="Tahoma" w:eastAsia="方正仿宋_GBK"/>
          <w:kern w:val="0"/>
          <w:sz w:val="32"/>
        </w:rPr>
        <w:t>中心具体负责</w:t>
      </w:r>
      <w:r>
        <w:rPr>
          <w:rFonts w:hint="eastAsia" w:ascii="方正仿宋_GBK" w:hAnsi="Tahoma" w:eastAsia="方正仿宋_GBK"/>
          <w:kern w:val="0"/>
          <w:sz w:val="32"/>
          <w:szCs w:val="32"/>
        </w:rPr>
        <w:t>农村集体组织专用票据</w:t>
      </w:r>
      <w:r>
        <w:rPr>
          <w:rFonts w:ascii="Tahoma" w:hAnsi="Tahoma" w:eastAsia="方正仿宋_GBK"/>
          <w:kern w:val="0"/>
          <w:sz w:val="32"/>
        </w:rPr>
        <w:t>的发放、核销等管理工作，由报账员向</w:t>
      </w:r>
      <w:r>
        <w:rPr>
          <w:rFonts w:hint="eastAsia" w:ascii="Tahoma" w:hAnsi="Tahoma" w:eastAsia="方正仿宋_GBK"/>
          <w:kern w:val="0"/>
          <w:sz w:val="32"/>
        </w:rPr>
        <w:t>代理</w:t>
      </w:r>
      <w:r>
        <w:rPr>
          <w:rFonts w:ascii="Tahoma" w:hAnsi="Tahoma" w:eastAsia="方正仿宋_GBK"/>
          <w:kern w:val="0"/>
          <w:sz w:val="32"/>
        </w:rPr>
        <w:t>中心领取，实行核旧领新、交领核销制，做到以票管收。</w:t>
      </w:r>
    </w:p>
    <w:p>
      <w:pPr>
        <w:adjustRightInd w:val="0"/>
        <w:snapToGrid w:val="0"/>
        <w:spacing w:line="570" w:lineRule="exact"/>
        <w:ind w:firstLine="648" w:firstLineChars="202"/>
        <w:jc w:val="left"/>
        <w:rPr>
          <w:rFonts w:ascii="Tahoma" w:hAnsi="Tahoma" w:eastAsia="方正仿宋_GBK"/>
          <w:kern w:val="0"/>
          <w:sz w:val="32"/>
        </w:rPr>
      </w:pPr>
      <w:r>
        <w:rPr>
          <w:rFonts w:ascii="Tahoma" w:hAnsi="Tahoma" w:eastAsia="方正仿宋_GBK"/>
          <w:b/>
          <w:bCs/>
          <w:kern w:val="0"/>
          <w:sz w:val="32"/>
        </w:rPr>
        <w:t>第十</w:t>
      </w:r>
      <w:r>
        <w:rPr>
          <w:rFonts w:hint="eastAsia" w:ascii="Tahoma" w:hAnsi="Tahoma" w:eastAsia="方正仿宋_GBK"/>
          <w:b/>
          <w:bCs/>
          <w:kern w:val="0"/>
          <w:sz w:val="32"/>
        </w:rPr>
        <w:t>三</w:t>
      </w:r>
      <w:r>
        <w:rPr>
          <w:rFonts w:ascii="Tahoma" w:hAnsi="Tahoma" w:eastAsia="方正仿宋_GBK"/>
          <w:b/>
          <w:bCs/>
          <w:kern w:val="0"/>
          <w:sz w:val="32"/>
        </w:rPr>
        <w:t>条</w:t>
      </w:r>
      <w:r>
        <w:rPr>
          <w:rFonts w:hint="eastAsia" w:ascii="Tahoma" w:hAnsi="Tahoma" w:eastAsia="方正仿宋_GBK"/>
          <w:b/>
          <w:bCs/>
          <w:kern w:val="0"/>
          <w:sz w:val="32"/>
        </w:rPr>
        <w:t xml:space="preserve">  </w:t>
      </w:r>
      <w:r>
        <w:rPr>
          <w:rFonts w:hint="eastAsia" w:ascii="Tahoma" w:hAnsi="Tahoma" w:eastAsia="方正仿宋_GBK"/>
          <w:kern w:val="0"/>
          <w:sz w:val="32"/>
        </w:rPr>
        <w:t>集体组织</w:t>
      </w:r>
      <w:r>
        <w:rPr>
          <w:rFonts w:ascii="Tahoma" w:hAnsi="Tahoma" w:eastAsia="方正仿宋_GBK"/>
          <w:kern w:val="0"/>
          <w:sz w:val="32"/>
        </w:rPr>
        <w:t>各项支出</w:t>
      </w:r>
      <w:r>
        <w:rPr>
          <w:rFonts w:hint="eastAsia" w:ascii="Tahoma" w:hAnsi="Tahoma" w:eastAsia="方正仿宋_GBK"/>
          <w:kern w:val="0"/>
          <w:sz w:val="32"/>
        </w:rPr>
        <w:t>要</w:t>
      </w:r>
      <w:r>
        <w:rPr>
          <w:rFonts w:ascii="Tahoma" w:hAnsi="Tahoma" w:eastAsia="方正仿宋_GBK"/>
          <w:kern w:val="0"/>
          <w:sz w:val="32"/>
        </w:rPr>
        <w:t>严格支出审批程序和手续</w:t>
      </w:r>
      <w:r>
        <w:rPr>
          <w:rFonts w:hint="eastAsia" w:ascii="Tahoma" w:hAnsi="Tahoma" w:eastAsia="方正仿宋_GBK"/>
          <w:kern w:val="0"/>
          <w:sz w:val="32"/>
        </w:rPr>
        <w:t>，支出票据必须填写完整、附件材料齐全、并按规定程序审批才能报销入账。附件材料不齐全的票据、未按规定程序审批的票据，代理中心不得报账入账。</w:t>
      </w:r>
    </w:p>
    <w:p>
      <w:pPr>
        <w:adjustRightInd w:val="0"/>
        <w:snapToGrid w:val="0"/>
        <w:spacing w:line="570" w:lineRule="exact"/>
        <w:ind w:firstLine="646" w:firstLineChars="202"/>
        <w:jc w:val="left"/>
        <w:rPr>
          <w:rFonts w:ascii="方正仿宋_GBK" w:hAnsi="方正仿宋_GBK" w:eastAsia="方正仿宋_GBK" w:cs="方正仿宋_GBK"/>
          <w:kern w:val="0"/>
          <w:sz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</w:rPr>
        <w:t>1．支出事项发生时，经办人必须取得合法有效的原始凭证及相关佐证资料（包括发票、明细表、会议记录、合同、验收资料、结算资料、照片等），由经办人签字并注明事由、用途，交监委会对凭证的真实性、合理性进行审核，经监委会主任签字盖章后，交相关责任人员审批后方可报销。凡未经监委会审核签字盖章的票据，一律不得入账。</w:t>
      </w:r>
    </w:p>
    <w:p>
      <w:pPr>
        <w:adjustRightInd w:val="0"/>
        <w:snapToGrid w:val="0"/>
        <w:spacing w:line="560" w:lineRule="exact"/>
        <w:ind w:firstLine="646" w:firstLineChars="202"/>
        <w:jc w:val="left"/>
        <w:rPr>
          <w:rFonts w:ascii="方正仿宋_GBK" w:hAnsi="方正仿宋_GBK" w:eastAsia="方正仿宋_GBK" w:cs="方正仿宋_GBK"/>
          <w:kern w:val="0"/>
          <w:sz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</w:rPr>
        <w:t>2．单笔支出金额0.3万元（包含0.3万元）以上的，须经村（居）支部委员会、村（居）民委员会（以下简称“两委”）研究通过后才能实施；单笔支出金额3万元（含3万元）以上的，还须经村民代表大会或村民大会讨论通过后，报代理中心代呈乡党委会审核通过后，才能实施。</w:t>
      </w:r>
    </w:p>
    <w:p>
      <w:pPr>
        <w:adjustRightInd w:val="0"/>
        <w:snapToGrid w:val="0"/>
        <w:spacing w:line="560" w:lineRule="exact"/>
        <w:ind w:firstLine="646" w:firstLineChars="202"/>
        <w:jc w:val="left"/>
        <w:rPr>
          <w:rFonts w:ascii="方正仿宋_GBK" w:hAnsi="方正仿宋_GBK" w:eastAsia="方正仿宋_GBK" w:cs="方正仿宋_GBK"/>
          <w:kern w:val="0"/>
          <w:sz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</w:rPr>
        <w:t>3．单笔支出金额0.1万元以下的，由村（居）委会负责人签字同意；单笔支出金额0.1万（含0.1万元）至0.3万元的，须由村（居）“两委”负责人签字同意；单笔支出金额0.3万元（包含0.3万元）至3万元的，须提交村（居）“两委”会议记录，并由村（居）“两委”负责人和乡驻村组长、乡驻村领导签字同意；单笔支出金额3万元（含3万元）以上的，还须提交村（居）民代表大会或村（居）民大会会议记录和乡党委会会议记录，并由村（居）“两委”负责人和乡驻村组长、乡驻村领导、乡主要领导签字。</w:t>
      </w:r>
    </w:p>
    <w:p>
      <w:pPr>
        <w:adjustRightInd w:val="0"/>
        <w:snapToGrid w:val="0"/>
        <w:spacing w:line="560" w:lineRule="exact"/>
        <w:ind w:firstLine="646" w:firstLineChars="202"/>
        <w:jc w:val="left"/>
        <w:rPr>
          <w:rFonts w:ascii="方正仿宋_GBK" w:hAnsi="方正仿宋_GBK" w:eastAsia="方正仿宋_GBK" w:cs="方正仿宋_GBK"/>
          <w:kern w:val="0"/>
          <w:sz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</w:rPr>
        <w:t>4．村（居）民小组自有资金的支出。单笔支出0.1万元（不含0.1万元）以内的，须经本村（居）民小组的村（居）民代表会议讨论通过；单笔支出0.1万元及以上的，须经本村（居）民小组村（居）民会议或户代表会议讨论通过。报销时，须提供相关会议记录和签到册以佐证。</w:t>
      </w:r>
    </w:p>
    <w:p>
      <w:pPr>
        <w:adjustRightInd w:val="0"/>
        <w:snapToGrid w:val="0"/>
        <w:spacing w:line="560" w:lineRule="exact"/>
        <w:ind w:firstLine="646" w:firstLineChars="202"/>
        <w:jc w:val="left"/>
        <w:rPr>
          <w:rFonts w:ascii="方正仿宋_GBK" w:hAnsi="方正仿宋_GBK" w:eastAsia="方正仿宋_GBK" w:cs="方正仿宋_GBK"/>
          <w:kern w:val="0"/>
          <w:sz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</w:rPr>
        <w:t>5．支出报销应通过银行转账方式直接支付给收款单位（人），单笔金额在0.1万元以下的，可由报账员代为支付。</w:t>
      </w:r>
    </w:p>
    <w:p>
      <w:pPr>
        <w:adjustRightInd w:val="0"/>
        <w:snapToGrid w:val="0"/>
        <w:spacing w:line="560" w:lineRule="exact"/>
        <w:ind w:firstLine="646" w:firstLineChars="202"/>
        <w:jc w:val="left"/>
        <w:rPr>
          <w:rFonts w:ascii="方正仿宋_GBK" w:hAnsi="方正仿宋_GBK" w:eastAsia="方正仿宋_GBK" w:cs="方正仿宋_GBK"/>
          <w:kern w:val="0"/>
          <w:sz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</w:rPr>
        <w:t>6．以上支付只针对村级日常运行经费，不包含专项资金、项目资金，涉及专项资金、项目资金支出以相应的管理办法为准。</w:t>
      </w:r>
    </w:p>
    <w:p>
      <w:pPr>
        <w:adjustRightInd w:val="0"/>
        <w:snapToGrid w:val="0"/>
        <w:spacing w:line="560" w:lineRule="exact"/>
        <w:ind w:firstLine="648" w:firstLineChars="202"/>
        <w:jc w:val="left"/>
        <w:rPr>
          <w:rFonts w:ascii="方正仿宋_GBK" w:hAnsi="方正仿宋_GBK" w:eastAsia="方正仿宋_GBK" w:cs="方正仿宋_GBK"/>
          <w:kern w:val="0"/>
          <w:sz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</w:rPr>
        <w:t xml:space="preserve">第十四条  </w:t>
      </w:r>
      <w:r>
        <w:rPr>
          <w:rFonts w:hint="eastAsia" w:ascii="方正仿宋_GBK" w:hAnsi="方正仿宋_GBK" w:eastAsia="方正仿宋_GBK" w:cs="方正仿宋_GBK"/>
          <w:kern w:val="0"/>
          <w:sz w:val="32"/>
        </w:rPr>
        <w:t>代理中心在受理报账业务时，应逐一审核有关凭证，支出的原始票据必须符合下列条件才能报销入账，不符合条件的代理中心不得报销入账。</w:t>
      </w:r>
    </w:p>
    <w:p>
      <w:pPr>
        <w:adjustRightInd w:val="0"/>
        <w:snapToGrid w:val="0"/>
        <w:spacing w:line="560" w:lineRule="exact"/>
        <w:ind w:firstLine="646" w:firstLineChars="202"/>
        <w:jc w:val="left"/>
        <w:rPr>
          <w:rFonts w:ascii="方正仿宋_GBK" w:hAnsi="方正仿宋_GBK" w:eastAsia="方正仿宋_GBK" w:cs="方正仿宋_GBK"/>
          <w:kern w:val="0"/>
          <w:sz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</w:rPr>
        <w:t>1．填制凭证的日期；</w:t>
      </w:r>
    </w:p>
    <w:p>
      <w:pPr>
        <w:adjustRightInd w:val="0"/>
        <w:snapToGrid w:val="0"/>
        <w:spacing w:line="560" w:lineRule="exact"/>
        <w:ind w:firstLine="646" w:firstLineChars="202"/>
        <w:jc w:val="left"/>
        <w:rPr>
          <w:rFonts w:ascii="方正仿宋_GBK" w:hAnsi="方正仿宋_GBK" w:eastAsia="方正仿宋_GBK" w:cs="方正仿宋_GBK"/>
          <w:kern w:val="0"/>
          <w:sz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</w:rPr>
        <w:t>2．填制凭证的单位名称或者填制人的姓名；</w:t>
      </w:r>
    </w:p>
    <w:p>
      <w:pPr>
        <w:adjustRightInd w:val="0"/>
        <w:snapToGrid w:val="0"/>
        <w:spacing w:line="560" w:lineRule="exact"/>
        <w:ind w:firstLine="646" w:firstLineChars="202"/>
        <w:jc w:val="left"/>
        <w:rPr>
          <w:rFonts w:ascii="方正仿宋_GBK" w:hAnsi="方正仿宋_GBK" w:eastAsia="方正仿宋_GBK" w:cs="方正仿宋_GBK"/>
          <w:kern w:val="0"/>
          <w:sz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</w:rPr>
        <w:t>3．经办人员、证明人的签名或盖章，并说明用途及事由；</w:t>
      </w:r>
    </w:p>
    <w:p>
      <w:pPr>
        <w:adjustRightInd w:val="0"/>
        <w:snapToGrid w:val="0"/>
        <w:spacing w:line="560" w:lineRule="exact"/>
        <w:ind w:firstLine="646" w:firstLineChars="202"/>
        <w:jc w:val="left"/>
        <w:rPr>
          <w:rFonts w:ascii="方正仿宋_GBK" w:hAnsi="方正仿宋_GBK" w:eastAsia="方正仿宋_GBK" w:cs="方正仿宋_GBK"/>
          <w:kern w:val="0"/>
          <w:sz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</w:rPr>
        <w:t>4．接受单位的名称；</w:t>
      </w:r>
    </w:p>
    <w:p>
      <w:pPr>
        <w:adjustRightInd w:val="0"/>
        <w:snapToGrid w:val="0"/>
        <w:spacing w:line="560" w:lineRule="exact"/>
        <w:ind w:firstLine="646" w:firstLineChars="202"/>
        <w:jc w:val="left"/>
        <w:rPr>
          <w:rFonts w:ascii="方正仿宋_GBK" w:hAnsi="方正仿宋_GBK" w:eastAsia="方正仿宋_GBK" w:cs="方正仿宋_GBK"/>
          <w:kern w:val="0"/>
          <w:sz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</w:rPr>
        <w:t>5．经济业务必须真实合法且内容齐全，内容主要有事项、数量、单价、金额等。</w:t>
      </w:r>
    </w:p>
    <w:p>
      <w:pPr>
        <w:adjustRightInd w:val="0"/>
        <w:snapToGrid w:val="0"/>
        <w:spacing w:line="560" w:lineRule="exact"/>
        <w:ind w:firstLine="648" w:firstLineChars="202"/>
        <w:jc w:val="left"/>
        <w:rPr>
          <w:rFonts w:ascii="方正仿宋_GBK" w:hAnsi="方正仿宋_GBK" w:eastAsia="方正仿宋_GBK" w:cs="方正仿宋_GBK"/>
          <w:kern w:val="0"/>
          <w:sz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</w:rPr>
        <w:t xml:space="preserve">第十五条  </w:t>
      </w:r>
      <w:r>
        <w:rPr>
          <w:rFonts w:hint="eastAsia" w:ascii="方正仿宋_GBK" w:hAnsi="方正仿宋_GBK" w:eastAsia="方正仿宋_GBK" w:cs="方正仿宋_GBK"/>
          <w:kern w:val="0"/>
          <w:sz w:val="32"/>
        </w:rPr>
        <w:t>规范非生产性开支管理。集体组织不得巧立名目擅自发放补助，村干部不得在集体组织报销个人应负担的费用。</w:t>
      </w:r>
    </w:p>
    <w:p>
      <w:pPr>
        <w:adjustRightInd w:val="0"/>
        <w:snapToGrid w:val="0"/>
        <w:spacing w:line="560" w:lineRule="exact"/>
        <w:ind w:firstLine="646" w:firstLineChars="202"/>
        <w:jc w:val="left"/>
        <w:rPr>
          <w:rFonts w:ascii="方正仿宋_GBK" w:hAnsi="方正仿宋_GBK" w:eastAsia="方正仿宋_GBK" w:cs="方正仿宋_GBK"/>
          <w:kern w:val="0"/>
          <w:sz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</w:rPr>
        <w:t>1．干部工资报酬支出。村干部津贴、补助、奖金等严格依据上级规定标准执行，不得擅自提高标准和增设名目。</w:t>
      </w:r>
    </w:p>
    <w:p>
      <w:pPr>
        <w:adjustRightInd w:val="0"/>
        <w:snapToGrid w:val="0"/>
        <w:spacing w:line="560" w:lineRule="exact"/>
        <w:ind w:firstLine="646" w:firstLineChars="202"/>
        <w:jc w:val="left"/>
        <w:rPr>
          <w:rFonts w:ascii="方正仿宋_GBK" w:hAnsi="方正仿宋_GBK" w:eastAsia="方正仿宋_GBK" w:cs="方正仿宋_GBK"/>
          <w:kern w:val="0"/>
          <w:sz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</w:rPr>
        <w:t>2．困难户救济费支出。集体组织不得随意支付困难群众救济补助，特殊情况确需救济的，须当事人提出申请，由村（居）“两委”会同监委会共同讨论通过，一般给予不超过500元/次的救济金。如有特殊情况，救济金额在500元以上的须经乡驻村领导审核签字。救济金必须由困难户本人签字领取，并附集体讨论的会议记录。</w:t>
      </w:r>
    </w:p>
    <w:p>
      <w:pPr>
        <w:adjustRightInd w:val="0"/>
        <w:snapToGrid w:val="0"/>
        <w:spacing w:line="560" w:lineRule="exact"/>
        <w:ind w:firstLine="646" w:firstLineChars="202"/>
        <w:jc w:val="left"/>
        <w:rPr>
          <w:rFonts w:ascii="方正仿宋_GBK" w:hAnsi="方正仿宋_GBK" w:eastAsia="方正仿宋_GBK" w:cs="方正仿宋_GBK"/>
          <w:kern w:val="0"/>
          <w:sz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</w:rPr>
        <w:t>3．考核奖金支出。上级部门考核发放到村的奖金，须作村（居）补助收入全额核算，严禁私分。本乡明文规定的中心工作、专项工作考核，须附考核细则和考核结果，报乡分管领导审批签字后方可列支。</w:t>
      </w:r>
    </w:p>
    <w:p>
      <w:pPr>
        <w:adjustRightInd w:val="0"/>
        <w:snapToGrid w:val="0"/>
        <w:spacing w:line="560" w:lineRule="exact"/>
        <w:ind w:firstLine="646" w:firstLineChars="202"/>
        <w:jc w:val="left"/>
        <w:rPr>
          <w:rFonts w:ascii="方正仿宋_GBK" w:hAnsi="方正仿宋_GBK" w:eastAsia="方正仿宋_GBK" w:cs="方正仿宋_GBK"/>
          <w:kern w:val="0"/>
          <w:sz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</w:rPr>
        <w:t>4．办公费支出。办公费包括办公用品、水电费等日常村级运行经费，各村根据工作实际需要，坚持勤俭节约的原则开支。村（居）集体组织不得自行印刷笔记本、信纸等，严禁用公款购买烟花、爆竹、花篮以及年画、挂历、纪念品等。</w:t>
      </w:r>
    </w:p>
    <w:p>
      <w:pPr>
        <w:adjustRightInd w:val="0"/>
        <w:snapToGrid w:val="0"/>
        <w:spacing w:line="560" w:lineRule="exact"/>
        <w:ind w:firstLine="646" w:firstLineChars="202"/>
        <w:jc w:val="left"/>
        <w:rPr>
          <w:rFonts w:ascii="方正仿宋_GBK" w:hAnsi="方正仿宋_GBK" w:eastAsia="方正仿宋_GBK" w:cs="方正仿宋_GBK"/>
          <w:kern w:val="0"/>
          <w:sz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</w:rPr>
        <w:t>5．会议补助支出。经村（居）民大会或村（居）民大会授权的村（居）民代表会议讨论通过，针对村（居）民代表会议、村（居）民大会等重大会议，且村财力允许的，每人每次可支付20元以内的交通补助，凭参会人员签字履行报批手续。村（居）组干部参加会议，不得领取补助，村（居）级党员大会不得发放补助。</w:t>
      </w:r>
    </w:p>
    <w:p>
      <w:pPr>
        <w:adjustRightInd w:val="0"/>
        <w:snapToGrid w:val="0"/>
        <w:spacing w:line="560" w:lineRule="exact"/>
        <w:ind w:firstLine="646" w:firstLineChars="202"/>
        <w:jc w:val="left"/>
        <w:rPr>
          <w:rFonts w:ascii="方正仿宋_GBK" w:hAnsi="方正仿宋_GBK" w:eastAsia="方正仿宋_GBK" w:cs="方正仿宋_GBK"/>
          <w:kern w:val="0"/>
          <w:sz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</w:rPr>
        <w:t>6．接待费支出。实行村级公务“零接待”，集体组织不得以任何名义用集体资金接待上级机关、部门、乡工作人员以及考察学习人员，不得赠送钱物和安排其他消费活动。村（居）组之间、村（居）组干部之间不得用集体资金相互宴请。</w:t>
      </w:r>
    </w:p>
    <w:p>
      <w:pPr>
        <w:adjustRightInd w:val="0"/>
        <w:snapToGrid w:val="0"/>
        <w:spacing w:line="560" w:lineRule="exact"/>
        <w:ind w:firstLine="646" w:firstLineChars="202"/>
        <w:jc w:val="left"/>
        <w:rPr>
          <w:rFonts w:ascii="方正仿宋_GBK" w:hAnsi="方正仿宋_GBK" w:eastAsia="方正仿宋_GBK" w:cs="方正仿宋_GBK"/>
          <w:kern w:val="0"/>
          <w:sz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</w:rPr>
        <w:t>7．集体用工支出。集体公益事业用工原则上按照“一事一议”筹资筹劳的政策规定执行，用工须实行台账管理，支出必须一事一报，严格实行派工单制度，派工单要注明派工人、出工人、用工事由、工时及工价。每次用工结束后，由出工人核实确认签字，派工单上要有经办人、证明人、审核人签字，全部打卡到人。对用工无明细，多事项合并报支的用工支出，不得报销入账。村（居）组干部不得领取用工费用。</w:t>
      </w:r>
    </w:p>
    <w:p>
      <w:pPr>
        <w:adjustRightInd w:val="0"/>
        <w:snapToGrid w:val="0"/>
        <w:spacing w:line="560" w:lineRule="exact"/>
        <w:ind w:firstLine="646" w:firstLineChars="202"/>
        <w:jc w:val="left"/>
        <w:rPr>
          <w:rFonts w:ascii="方正仿宋_GBK" w:hAnsi="方正仿宋_GBK" w:eastAsia="方正仿宋_GBK" w:cs="方正仿宋_GBK"/>
          <w:kern w:val="0"/>
          <w:sz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</w:rPr>
        <w:t>8．学习、培训支出。村组干部参加各级各部门举办的学习班、培训班和会议等，不得以任何理由在集体组织报销各种学费、培训费和会议费。</w:t>
      </w:r>
    </w:p>
    <w:p>
      <w:pPr>
        <w:adjustRightInd w:val="0"/>
        <w:snapToGrid w:val="0"/>
        <w:spacing w:line="560" w:lineRule="exact"/>
        <w:ind w:firstLine="646" w:firstLineChars="202"/>
        <w:jc w:val="left"/>
        <w:rPr>
          <w:rFonts w:ascii="方正仿宋_GBK" w:hAnsi="方正仿宋_GBK" w:eastAsia="方正仿宋_GBK" w:cs="方正仿宋_GBK"/>
          <w:kern w:val="0"/>
          <w:sz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</w:rPr>
        <w:t>9．捐助、赞助、贺礼开支。集体组织不得以捐助、赞助、贺礼费等名义向外单位捐款，确需捐赠的须经村（居）民代表大会或村（居）民大会讨论通过，并报乡政府审查同意后方可开支。</w:t>
      </w:r>
    </w:p>
    <w:p>
      <w:pPr>
        <w:adjustRightInd w:val="0"/>
        <w:snapToGrid w:val="0"/>
        <w:spacing w:line="560" w:lineRule="exact"/>
        <w:ind w:firstLine="646" w:firstLineChars="202"/>
        <w:jc w:val="left"/>
        <w:rPr>
          <w:rFonts w:ascii="方正仿宋_GBK" w:hAnsi="方正仿宋_GBK" w:eastAsia="方正仿宋_GBK" w:cs="方正仿宋_GBK"/>
          <w:kern w:val="0"/>
          <w:sz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</w:rPr>
        <w:t>10．以上所列常规运行支出不涉及专项经费，如果专项经费用途范围属于可以列支的，参照专项经费列支范围执行。</w:t>
      </w:r>
    </w:p>
    <w:p>
      <w:pPr>
        <w:adjustRightInd w:val="0"/>
        <w:snapToGrid w:val="0"/>
        <w:spacing w:line="560" w:lineRule="exact"/>
        <w:ind w:firstLine="648" w:firstLineChars="202"/>
        <w:jc w:val="left"/>
        <w:rPr>
          <w:rFonts w:ascii="方正仿宋_GBK" w:hAnsi="方正仿宋_GBK" w:eastAsia="方正仿宋_GBK" w:cs="方正仿宋_GBK"/>
          <w:kern w:val="0"/>
          <w:sz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</w:rPr>
        <w:t xml:space="preserve">第十六条  </w:t>
      </w:r>
      <w:r>
        <w:rPr>
          <w:rFonts w:hint="eastAsia" w:ascii="方正仿宋_GBK" w:hAnsi="方正仿宋_GBK" w:eastAsia="方正仿宋_GBK" w:cs="方正仿宋_GBK"/>
          <w:kern w:val="0"/>
          <w:sz w:val="32"/>
        </w:rPr>
        <w:t>推行村干部任期“零负债”制度，严格控制新增债务。村集体必须坚持量入为出、量力而行的原则，严禁举债搞建设；严禁举债兴办公益事业；严禁举债垫付各种费用；严禁举债用于村级支出；严禁为企业贷款提供担保和抵押，严禁集体资金外借单位或个人。</w:t>
      </w:r>
    </w:p>
    <w:p>
      <w:pPr>
        <w:adjustRightInd w:val="0"/>
        <w:snapToGrid w:val="0"/>
        <w:spacing w:line="560" w:lineRule="exact"/>
        <w:ind w:firstLine="648" w:firstLineChars="202"/>
        <w:jc w:val="left"/>
        <w:rPr>
          <w:rFonts w:ascii="方正仿宋_GBK" w:hAnsi="方正仿宋_GBK" w:eastAsia="方正仿宋_GBK" w:cs="方正仿宋_GBK"/>
          <w:kern w:val="0"/>
          <w:sz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</w:rPr>
        <w:t xml:space="preserve">第十七条  </w:t>
      </w:r>
      <w:r>
        <w:rPr>
          <w:rFonts w:hint="eastAsia" w:ascii="方正仿宋_GBK" w:hAnsi="方正仿宋_GBK" w:eastAsia="方正仿宋_GBK" w:cs="方正仿宋_GBK"/>
          <w:kern w:val="0"/>
          <w:sz w:val="32"/>
        </w:rPr>
        <w:t>对村集体未按规定擅自举债，违规发生新增债务的，按照“谁决策谁承担、谁签字谁负责”的原则，由决策人和签字人承担偿还义务，并追究其相关责任。</w:t>
      </w:r>
    </w:p>
    <w:p>
      <w:pPr>
        <w:adjustRightInd w:val="0"/>
        <w:snapToGrid w:val="0"/>
        <w:spacing w:line="560" w:lineRule="exact"/>
        <w:ind w:firstLine="648" w:firstLineChars="202"/>
        <w:jc w:val="left"/>
        <w:rPr>
          <w:rFonts w:ascii="方正仿宋_GBK" w:hAnsi="方正仿宋_GBK" w:eastAsia="方正仿宋_GBK" w:cs="方正仿宋_GBK"/>
          <w:kern w:val="0"/>
          <w:sz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</w:rPr>
        <w:t xml:space="preserve">第十八条  </w:t>
      </w:r>
      <w:r>
        <w:rPr>
          <w:rFonts w:hint="eastAsia" w:ascii="方正仿宋_GBK" w:hAnsi="方正仿宋_GBK" w:eastAsia="方正仿宋_GBK" w:cs="方正仿宋_GBK"/>
          <w:kern w:val="0"/>
          <w:sz w:val="32"/>
        </w:rPr>
        <w:t>监委会负责对本村（居）集体财务活动进行民主监督，参与制定财务计划，有权检查、审查财务账目及相关的经济活动事项，有权否决不合理开支。村（居）民对村集体财务账目有质疑的，有权委托监委会查阅、审查财务账目，要求当事人对财务问题作出解释。</w:t>
      </w:r>
    </w:p>
    <w:p>
      <w:pPr>
        <w:adjustRightInd w:val="0"/>
        <w:snapToGrid w:val="0"/>
        <w:spacing w:line="560" w:lineRule="exact"/>
        <w:ind w:firstLine="648" w:firstLineChars="202"/>
        <w:jc w:val="left"/>
        <w:rPr>
          <w:rFonts w:ascii="方正仿宋_GBK" w:hAnsi="方正仿宋_GBK" w:eastAsia="方正仿宋_GBK" w:cs="方正仿宋_GBK"/>
          <w:kern w:val="0"/>
          <w:sz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</w:rPr>
        <w:t xml:space="preserve">第十九条  </w:t>
      </w:r>
      <w:r>
        <w:rPr>
          <w:rFonts w:hint="eastAsia" w:ascii="方正仿宋_GBK" w:hAnsi="方正仿宋_GBK" w:eastAsia="方正仿宋_GBK" w:cs="方正仿宋_GBK"/>
          <w:kern w:val="0"/>
          <w:sz w:val="32"/>
        </w:rPr>
        <w:t>村集体应设立财务公开栏，接受村民监督。重大财务事项及时公开，日常财务事项每月公开，由代理中心向集体组织提供准确、完整的财务公开表。</w:t>
      </w:r>
    </w:p>
    <w:p>
      <w:pPr>
        <w:adjustRightInd w:val="0"/>
        <w:snapToGrid w:val="0"/>
        <w:spacing w:line="560" w:lineRule="exact"/>
        <w:ind w:firstLine="648" w:firstLineChars="202"/>
        <w:jc w:val="left"/>
        <w:rPr>
          <w:rFonts w:ascii="方正仿宋_GBK" w:hAnsi="方正仿宋_GBK" w:eastAsia="方正仿宋_GBK" w:cs="方正仿宋_GBK"/>
          <w:kern w:val="0"/>
          <w:sz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</w:rPr>
        <w:t xml:space="preserve">第二十条  </w:t>
      </w:r>
      <w:r>
        <w:rPr>
          <w:rFonts w:hint="eastAsia" w:ascii="方正仿宋_GBK" w:hAnsi="方正仿宋_GBK" w:eastAsia="方正仿宋_GBK" w:cs="方正仿宋_GBK"/>
          <w:kern w:val="0"/>
          <w:sz w:val="32"/>
        </w:rPr>
        <w:t>集体组织的财务工作要接受审计监督，审计结果要在向村民公布，对集体土地征用、各类承包上交、“一事一议”筹资筹劳等以及群众反映强烈的突出问题要实行专项审计。</w:t>
      </w:r>
    </w:p>
    <w:p>
      <w:pPr>
        <w:adjustRightInd w:val="0"/>
        <w:snapToGrid w:val="0"/>
        <w:spacing w:line="560" w:lineRule="exact"/>
        <w:ind w:firstLine="648" w:firstLineChars="202"/>
        <w:jc w:val="left"/>
        <w:rPr>
          <w:rFonts w:ascii="方正仿宋_GBK" w:hAnsi="方正仿宋_GBK" w:eastAsia="方正仿宋_GBK" w:cs="方正仿宋_GBK"/>
          <w:kern w:val="0"/>
          <w:sz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</w:rPr>
        <w:t xml:space="preserve">第二十一条  </w:t>
      </w:r>
      <w:r>
        <w:rPr>
          <w:rFonts w:hint="eastAsia" w:ascii="方正仿宋_GBK" w:hAnsi="方正仿宋_GBK" w:eastAsia="方正仿宋_GBK" w:cs="方正仿宋_GBK"/>
          <w:kern w:val="0"/>
          <w:sz w:val="32"/>
        </w:rPr>
        <w:t>对违反集体组织财务管理规定的相关责任人员，情节较轻的，给予批评教育，并责令其改正；情节较重的，给予党纪政纪处分；构成犯罪的，依法追究当事人的刑事责任。</w:t>
      </w:r>
    </w:p>
    <w:p>
      <w:pPr>
        <w:adjustRightInd w:val="0"/>
        <w:snapToGrid w:val="0"/>
        <w:spacing w:line="560" w:lineRule="exact"/>
        <w:ind w:firstLine="648" w:firstLineChars="202"/>
        <w:jc w:val="left"/>
        <w:rPr>
          <w:rFonts w:ascii="方正仿宋_GBK" w:hAnsi="方正仿宋_GBK" w:eastAsia="方正仿宋_GBK" w:cs="方正仿宋_GBK"/>
          <w:kern w:val="0"/>
          <w:sz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</w:rPr>
        <w:t xml:space="preserve">第二十二条  </w:t>
      </w:r>
      <w:r>
        <w:rPr>
          <w:rFonts w:hint="eastAsia" w:ascii="方正仿宋_GBK" w:hAnsi="方正仿宋_GBK" w:eastAsia="方正仿宋_GBK" w:cs="方正仿宋_GBK"/>
          <w:kern w:val="0"/>
          <w:sz w:val="32"/>
        </w:rPr>
        <w:t>法律、法规对集体组织财务管理有明确规定的，从其规定。</w:t>
      </w:r>
    </w:p>
    <w:p>
      <w:pPr>
        <w:adjustRightInd w:val="0"/>
        <w:snapToGrid w:val="0"/>
        <w:spacing w:line="560" w:lineRule="exact"/>
        <w:ind w:firstLine="648" w:firstLineChars="202"/>
        <w:jc w:val="left"/>
        <w:rPr>
          <w:rFonts w:ascii="方正仿宋_GBK" w:hAnsi="方正仿宋_GBK" w:eastAsia="方正仿宋_GBK" w:cs="方正仿宋_GBK"/>
          <w:kern w:val="0"/>
          <w:sz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</w:rPr>
        <w:t xml:space="preserve">第二十三条  </w:t>
      </w:r>
      <w:r>
        <w:rPr>
          <w:rFonts w:hint="eastAsia" w:ascii="方正仿宋_GBK" w:hAnsi="方正仿宋_GBK" w:eastAsia="方正仿宋_GBK" w:cs="方正仿宋_GBK"/>
          <w:kern w:val="0"/>
          <w:sz w:val="32"/>
        </w:rPr>
        <w:t>本办法由乡代理中心负责解释。</w:t>
      </w:r>
    </w:p>
    <w:p>
      <w:pPr>
        <w:spacing w:line="600" w:lineRule="exact"/>
        <w:ind w:firstLine="642" w:firstLineChars="200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</w:rPr>
        <w:t xml:space="preserve">第二十四条  </w:t>
      </w:r>
      <w:r>
        <w:rPr>
          <w:rFonts w:hint="eastAsia" w:ascii="方正仿宋_GBK" w:hAnsi="方正仿宋_GBK" w:eastAsia="方正仿宋_GBK" w:cs="方正仿宋_GBK"/>
          <w:kern w:val="0"/>
          <w:sz w:val="32"/>
        </w:rPr>
        <w:t>本办法自发文之日起实施，乡党委、政府之前印发文件与本办法不一致的以本办法为准。</w:t>
      </w:r>
    </w:p>
    <w:p>
      <w:pPr>
        <w:spacing w:line="520" w:lineRule="exact"/>
        <w:rPr>
          <w:rFonts w:ascii="方正仿宋_GBK" w:hAnsi="仿宋" w:eastAsia="方正仿宋_GBK" w:cs="仿宋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pBdr>
          <w:top w:val="single" w:color="auto" w:sz="4" w:space="1"/>
          <w:bottom w:val="single" w:color="000000" w:sz="4" w:space="0"/>
        </w:pBdr>
        <w:tabs>
          <w:tab w:val="left" w:pos="8820"/>
        </w:tabs>
        <w:spacing w:line="600" w:lineRule="exact"/>
        <w:ind w:right="15" w:rightChars="7" w:firstLine="280" w:firstLineChars="100"/>
        <w:rPr>
          <w:rFonts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>重庆市涪陵区大顺乡党政办公室            2021年7</w:t>
      </w:r>
      <w:r>
        <w:rPr>
          <w:rFonts w:hint="eastAsia" w:ascii="方正仿宋_GBK" w:eastAsia="方正仿宋_GBK"/>
          <w:sz w:val="28"/>
          <w:szCs w:val="28"/>
        </w:rPr>
        <w:t>月7日</w:t>
      </w:r>
      <w:r>
        <w:rPr>
          <w:rFonts w:hint="eastAsia" w:ascii="方正仿宋_GBK" w:hAnsi="Times New Roman" w:eastAsia="方正仿宋_GBK" w:cs="Times New Roman"/>
          <w:sz w:val="28"/>
          <w:szCs w:val="28"/>
        </w:rPr>
        <w:t>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758" w:left="1588" w:header="851" w:footer="851" w:gutter="0"/>
      <w:pgNumType w:fmt="numberInDash"/>
      <w:cols w:space="72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09F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08" w:usb3="00000000" w:csb0="000101FF" w:csb1="00000000"/>
  </w:font>
  <w:font w:name="仿宋">
    <w:altName w:val="微软雅黑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9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- 10 -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0BA6F30E-9252-451F-8307-95179203AFF0}" w:val="8FphBJrZdL4V9yxa7EvKPguO2SXcz6qti5kQUsb+3AR1l/meY0owI=jHGMDfNWTCn"/>
    <w:docVar w:name="{0CD6A1A6-08D8-4FC4-ADC7-A918E6981176}" w:val="8FphBJrZdL4V9yxa7EvKPguO2SXcz6qti5kQUsb+3AR1l/meY0owI=jHGMDfNWTCn"/>
    <w:docVar w:name="{0D02463C-2848-443C-AA9A-585E09B7DA11}" w:val="8FphBJrZdL4V9yxa7EvKPguO2SXcz6qti5kQUsb+3AR1l/meY0owI=jHGMDfNWTCn"/>
    <w:docVar w:name="{0E668FB1-FB72-4429-82FF-99FA18CC9252}" w:val="8FphBJrZdL4V9yxa7EvKPguO2SXcz6qti5kQUsb+3AR1l/meY0owI=jHGMDfNWTCn"/>
    <w:docVar w:name="{3206103E-57E8-4DBA-AEEB-7189284D7850}" w:val="8FphBJrZdL4V9yxa7EvKPguO2SXcz6qti5kQUsb+3AR1l/meY0owI=jHGMDfNWTCn"/>
    <w:docVar w:name="{376523C7-694A-4253-A794-46B952ED648F}" w:val="8FphBJrZdL4V9yxa7EvKPguO2SXcz6qti5kQUsb+3AR1l/meY0owI=jHGMDfNWTCn"/>
    <w:docVar w:name="{3F0E8709-1DAA-49D9-8556-9C07F495A5B0}" w:val="8FphBJrZdL4V9yxa7EvKPguO2SXcz6qti5kQUsb+3AR1l/meY0owI=jHGMDfNWTCn"/>
    <w:docVar w:name="{40ED7110-9F50-4B27-9983-DDC855166C6B}" w:val="8FphBJrZdL4V9yxa7EvKPguO2SXcz6qti5kQUsb+3AR1l/meY0owI=jHGMDfNWTCn"/>
    <w:docVar w:name="{42058016-12EF-4E0E-A004-8A76F3FACAAA}" w:val="8FphBJrZdL4V9yxa7EvKPguO2SXcz6qti5kQUsb+3AR1l/meY0owI=jHGMDfNWTCn"/>
    <w:docVar w:name="{45A250DC-FC39-4172-8FDC-18A0C34904B4}" w:val="8FphBJrZdL4V9yxa7EvKPguO2SXcz6qti5kQUsb+3AR1l/meY0owI=jHGMDfNWTCn"/>
    <w:docVar w:name="{52CC5540-059F-4082-8D5E-07C597D575BE}" w:val="8FphBJrZdL4V9yxa7EvKPguO2SXcz6qti5kQUsb+3AR1l/meY0owI=jHGMDfNWTCn"/>
    <w:docVar w:name="{614D91C1-24C4-4EBA-86BD-D6973651A912}" w:val="8FphBJrZdL4V9yxa7EvKPguO2SXcz6qti5kQUsb+3AR1l/meY0owI=jHGMDfNWTCn"/>
    <w:docVar w:name="{69B0F48F-F781-4471-979F-7AFF22D322DB}" w:val="8FphBJrZdL4V9yxa7EvKPguO2SXcz6qti5kQUsb+3AR1l/meY0owI=jHGMDfNWTCn"/>
    <w:docVar w:name="{6D854368-CCA0-4A75-9AD2-E687C78296D9}" w:val="8FphBJrZdL4V9yxa7EvKPguO2SXcz6qti5kQUsb+3AR1l/meY0owI=jHGMDfNWTCn"/>
    <w:docVar w:name="{6E197698-0C57-4DEA-9EE3-86240B29708D}" w:val="8FphBJrZdL4V9yxa7EvKPguO2SXcz6qti5kQUsb+3AR1l/meY0owI=jHGMDfNWTCn"/>
    <w:docVar w:name="{92970C5F-4BFA-40B5-BBA0-6FBF5311C721}" w:val="8FphBJrZdL4V9yxa7EvKPguO2SXcz6qti5kQUsb+3AR1l/meY0owI=jHGMDfNWTCn"/>
    <w:docVar w:name="{92ADAC38-92BB-423D-8F9C-C7FEF14F826C}" w:val="8FphBJrZdL4V9yxa7EvKPguO2SXcz6qti5kQUsb+3AR1l/meY0owI=jHGMDfNWTCn"/>
    <w:docVar w:name="{9878FFE5-665D-4BA4-994B-1951163108A5}" w:val="8FphBJrZdL4V9yxa7EvKPguO2SXcz6qti5kQUsb+3AR1l/meY0owI=jHGMDfNWTCn"/>
    <w:docVar w:name="{A2F43759-BF7C-449E-B9A5-D1B6727D13ED}" w:val="8FphBJrZdL4V9yxa7EvKPguO2SXcz6qti5kQUsb+3AR1l/meY0owI=jHGMDfNWTCn"/>
    <w:docVar w:name="{A59C883C-E85D-4A0C-B989-4EBA53A90C09}" w:val="8FphBJrZdL4V9yxa7EvKPguO2SXcz6qti5kQUsb+3AR1l/meY0owI=jHGMDfNWTCn"/>
    <w:docVar w:name="{ABCEC0F3-303C-4B2A-9EBF-ED64A9C48A43}" w:val="8FphBJrZdL4V9yxa7EvKPguO2SXcz6qti5kQUsb+3AR1l/meY0owI=jHGMDfNWTCn"/>
    <w:docVar w:name="{C49778B5-667E-448D-A581-D10FDD15977F}" w:val="8FphBJrZdL4V9yxa7EvKPguO2SXcz6qti5kQUsb+3AR1l/meY0owI=jHGMDfNWTCn"/>
    <w:docVar w:name="{C4C63F29-0123-44F3-882C-F6127C2A4E1F}" w:val="8FphBJrZdL4V9yxa7EvKPguO2SXcz6qti5kQUsb+3AR1l/meY0owI=jHGMDfNWTCn"/>
    <w:docVar w:name="{CCD253E6-EEF0-40BE-B601-571156DD82DE}" w:val="8FphBJrZdL4V9yxa7EvKPguO2SXcz6qti5kQUsb+3AR1l/meY0owI=jHGMDfNWTCn"/>
    <w:docVar w:name="{E23E217A-E353-448C-953A-FA5BD3AE82A1}" w:val="8FphBJrZdL4V9yxa7EvKPguO2SXcz6qti5kQUsb+3AR1l/meY0owI=jHGMDfNWTCn"/>
    <w:docVar w:name="{EE8B1F3F-3C69-4085-BFA9-C3DE728896E7}" w:val="8FphBJrZdL4V9yxa7EvKPguO2SXcz6qti5kQUsb+3AR1l/meY0owI=jHGMDfNWTCn"/>
    <w:docVar w:name="{F4F5E99E-143D-4913-8ACE-08088CD2D83F}" w:val="8FphBJrZdL4V9yxa7EvKPguO2SXcz6qti5kQUsb+3AR1l/meY0owI=jHGMDfNWTCn"/>
    <w:docVar w:name="DocumentID" w:val="{01903EF4-88A8-49B5-943B-DA6EBA905C38}"/>
  </w:docVars>
  <w:rsids>
    <w:rsidRoot w:val="000D3189"/>
    <w:rsid w:val="00000517"/>
    <w:rsid w:val="0001734A"/>
    <w:rsid w:val="0002222C"/>
    <w:rsid w:val="000226C5"/>
    <w:rsid w:val="000240E1"/>
    <w:rsid w:val="00031E59"/>
    <w:rsid w:val="00034D44"/>
    <w:rsid w:val="000503CA"/>
    <w:rsid w:val="0005444F"/>
    <w:rsid w:val="00062C62"/>
    <w:rsid w:val="00070B4E"/>
    <w:rsid w:val="00073E24"/>
    <w:rsid w:val="000778C9"/>
    <w:rsid w:val="000779AF"/>
    <w:rsid w:val="000B74C1"/>
    <w:rsid w:val="000D2F73"/>
    <w:rsid w:val="000D3189"/>
    <w:rsid w:val="000D3463"/>
    <w:rsid w:val="000E4C9A"/>
    <w:rsid w:val="000F5934"/>
    <w:rsid w:val="00110AF1"/>
    <w:rsid w:val="001314D6"/>
    <w:rsid w:val="00133CA6"/>
    <w:rsid w:val="00134994"/>
    <w:rsid w:val="00135797"/>
    <w:rsid w:val="001402FC"/>
    <w:rsid w:val="001406E7"/>
    <w:rsid w:val="001527C9"/>
    <w:rsid w:val="00153463"/>
    <w:rsid w:val="001616EE"/>
    <w:rsid w:val="00161AC1"/>
    <w:rsid w:val="00166B43"/>
    <w:rsid w:val="001A3F29"/>
    <w:rsid w:val="001A7608"/>
    <w:rsid w:val="001B2336"/>
    <w:rsid w:val="001C3A3D"/>
    <w:rsid w:val="001C4072"/>
    <w:rsid w:val="001D29DE"/>
    <w:rsid w:val="001D77C1"/>
    <w:rsid w:val="001F0454"/>
    <w:rsid w:val="001F4B7D"/>
    <w:rsid w:val="001F5A54"/>
    <w:rsid w:val="001F6A5E"/>
    <w:rsid w:val="001F7029"/>
    <w:rsid w:val="0021712C"/>
    <w:rsid w:val="00223B90"/>
    <w:rsid w:val="002253EE"/>
    <w:rsid w:val="0022550B"/>
    <w:rsid w:val="00227E7F"/>
    <w:rsid w:val="00233325"/>
    <w:rsid w:val="00242674"/>
    <w:rsid w:val="00256AE2"/>
    <w:rsid w:val="00262D60"/>
    <w:rsid w:val="002B1C88"/>
    <w:rsid w:val="002C5BF6"/>
    <w:rsid w:val="0031496C"/>
    <w:rsid w:val="00342A3C"/>
    <w:rsid w:val="003602D8"/>
    <w:rsid w:val="00371EFA"/>
    <w:rsid w:val="003804E6"/>
    <w:rsid w:val="00382A36"/>
    <w:rsid w:val="003957CF"/>
    <w:rsid w:val="003A1A02"/>
    <w:rsid w:val="003A628C"/>
    <w:rsid w:val="003B35E2"/>
    <w:rsid w:val="003C6699"/>
    <w:rsid w:val="003C7F6B"/>
    <w:rsid w:val="003D39C5"/>
    <w:rsid w:val="003E4160"/>
    <w:rsid w:val="00413270"/>
    <w:rsid w:val="0041601B"/>
    <w:rsid w:val="00422226"/>
    <w:rsid w:val="004225DC"/>
    <w:rsid w:val="00423B89"/>
    <w:rsid w:val="00466656"/>
    <w:rsid w:val="00476309"/>
    <w:rsid w:val="00476EFC"/>
    <w:rsid w:val="00480AFC"/>
    <w:rsid w:val="004878CB"/>
    <w:rsid w:val="004A29B1"/>
    <w:rsid w:val="004A5AD7"/>
    <w:rsid w:val="004C1AB0"/>
    <w:rsid w:val="004D0778"/>
    <w:rsid w:val="004D570D"/>
    <w:rsid w:val="004E1934"/>
    <w:rsid w:val="00523770"/>
    <w:rsid w:val="00532867"/>
    <w:rsid w:val="005407DA"/>
    <w:rsid w:val="00571919"/>
    <w:rsid w:val="005A1FAE"/>
    <w:rsid w:val="005A6C41"/>
    <w:rsid w:val="005B017C"/>
    <w:rsid w:val="005B41C0"/>
    <w:rsid w:val="005C09AA"/>
    <w:rsid w:val="005C455D"/>
    <w:rsid w:val="005D5077"/>
    <w:rsid w:val="005F5AE9"/>
    <w:rsid w:val="005F684E"/>
    <w:rsid w:val="00605D4A"/>
    <w:rsid w:val="00610CC4"/>
    <w:rsid w:val="00631221"/>
    <w:rsid w:val="00631776"/>
    <w:rsid w:val="00631853"/>
    <w:rsid w:val="00636FAD"/>
    <w:rsid w:val="00650D07"/>
    <w:rsid w:val="0065648A"/>
    <w:rsid w:val="006631DB"/>
    <w:rsid w:val="00664E00"/>
    <w:rsid w:val="00672C2E"/>
    <w:rsid w:val="00672D93"/>
    <w:rsid w:val="0068047C"/>
    <w:rsid w:val="00687F5A"/>
    <w:rsid w:val="00691223"/>
    <w:rsid w:val="006A11D6"/>
    <w:rsid w:val="006A6B06"/>
    <w:rsid w:val="006C5455"/>
    <w:rsid w:val="006E24C7"/>
    <w:rsid w:val="006E31D4"/>
    <w:rsid w:val="006E5E3E"/>
    <w:rsid w:val="006E6FC3"/>
    <w:rsid w:val="00703E38"/>
    <w:rsid w:val="00717D65"/>
    <w:rsid w:val="0072205F"/>
    <w:rsid w:val="007264BE"/>
    <w:rsid w:val="0072703B"/>
    <w:rsid w:val="00737C9D"/>
    <w:rsid w:val="00743CBE"/>
    <w:rsid w:val="00757563"/>
    <w:rsid w:val="007641C2"/>
    <w:rsid w:val="00766D65"/>
    <w:rsid w:val="007702A7"/>
    <w:rsid w:val="007B188C"/>
    <w:rsid w:val="007D15CB"/>
    <w:rsid w:val="007D438A"/>
    <w:rsid w:val="007D4C61"/>
    <w:rsid w:val="0080428A"/>
    <w:rsid w:val="008075BA"/>
    <w:rsid w:val="00811DA1"/>
    <w:rsid w:val="00825B81"/>
    <w:rsid w:val="0083174C"/>
    <w:rsid w:val="008317D5"/>
    <w:rsid w:val="00846548"/>
    <w:rsid w:val="00852C14"/>
    <w:rsid w:val="00863042"/>
    <w:rsid w:val="00874178"/>
    <w:rsid w:val="00887418"/>
    <w:rsid w:val="008B54FC"/>
    <w:rsid w:val="008D2620"/>
    <w:rsid w:val="008E51A8"/>
    <w:rsid w:val="008E6E87"/>
    <w:rsid w:val="009007CB"/>
    <w:rsid w:val="00903BC2"/>
    <w:rsid w:val="00912114"/>
    <w:rsid w:val="00912822"/>
    <w:rsid w:val="00916FCC"/>
    <w:rsid w:val="009275C1"/>
    <w:rsid w:val="00930C0C"/>
    <w:rsid w:val="00931B26"/>
    <w:rsid w:val="00937804"/>
    <w:rsid w:val="00950419"/>
    <w:rsid w:val="00950871"/>
    <w:rsid w:val="00952F27"/>
    <w:rsid w:val="00965A67"/>
    <w:rsid w:val="0097329D"/>
    <w:rsid w:val="00980B8A"/>
    <w:rsid w:val="00986C01"/>
    <w:rsid w:val="00994256"/>
    <w:rsid w:val="009A09B4"/>
    <w:rsid w:val="009B23BA"/>
    <w:rsid w:val="009B36FA"/>
    <w:rsid w:val="009B3707"/>
    <w:rsid w:val="009C6D24"/>
    <w:rsid w:val="009D0C62"/>
    <w:rsid w:val="009D1EB5"/>
    <w:rsid w:val="009D67D2"/>
    <w:rsid w:val="00A15DD0"/>
    <w:rsid w:val="00A176D7"/>
    <w:rsid w:val="00A20D10"/>
    <w:rsid w:val="00A320B6"/>
    <w:rsid w:val="00A35BFE"/>
    <w:rsid w:val="00A37399"/>
    <w:rsid w:val="00A400A8"/>
    <w:rsid w:val="00A51809"/>
    <w:rsid w:val="00A57527"/>
    <w:rsid w:val="00A73A43"/>
    <w:rsid w:val="00A906D2"/>
    <w:rsid w:val="00AB4F46"/>
    <w:rsid w:val="00AC1DE6"/>
    <w:rsid w:val="00AC62D3"/>
    <w:rsid w:val="00AC77A5"/>
    <w:rsid w:val="00AD7858"/>
    <w:rsid w:val="00AD7C29"/>
    <w:rsid w:val="00AE280F"/>
    <w:rsid w:val="00AF1513"/>
    <w:rsid w:val="00B207E6"/>
    <w:rsid w:val="00B3565C"/>
    <w:rsid w:val="00B448DC"/>
    <w:rsid w:val="00B6417B"/>
    <w:rsid w:val="00B8078D"/>
    <w:rsid w:val="00B96347"/>
    <w:rsid w:val="00B96CCD"/>
    <w:rsid w:val="00BC4CB5"/>
    <w:rsid w:val="00BC6099"/>
    <w:rsid w:val="00BD213F"/>
    <w:rsid w:val="00BD5347"/>
    <w:rsid w:val="00BE45F4"/>
    <w:rsid w:val="00BF2A23"/>
    <w:rsid w:val="00BF2C15"/>
    <w:rsid w:val="00BF5191"/>
    <w:rsid w:val="00BF7765"/>
    <w:rsid w:val="00C13C00"/>
    <w:rsid w:val="00C337B1"/>
    <w:rsid w:val="00C42DB2"/>
    <w:rsid w:val="00C51554"/>
    <w:rsid w:val="00C90078"/>
    <w:rsid w:val="00CA6639"/>
    <w:rsid w:val="00CA7A42"/>
    <w:rsid w:val="00CC5FF9"/>
    <w:rsid w:val="00CD10F4"/>
    <w:rsid w:val="00CF0E68"/>
    <w:rsid w:val="00CF106B"/>
    <w:rsid w:val="00CF4349"/>
    <w:rsid w:val="00D11C3C"/>
    <w:rsid w:val="00D127F1"/>
    <w:rsid w:val="00D23D2F"/>
    <w:rsid w:val="00D25317"/>
    <w:rsid w:val="00D25A8C"/>
    <w:rsid w:val="00D30EAF"/>
    <w:rsid w:val="00D52779"/>
    <w:rsid w:val="00D5305F"/>
    <w:rsid w:val="00D72E8A"/>
    <w:rsid w:val="00D74DC0"/>
    <w:rsid w:val="00D82B26"/>
    <w:rsid w:val="00D84400"/>
    <w:rsid w:val="00D92ECC"/>
    <w:rsid w:val="00DA58F8"/>
    <w:rsid w:val="00DB0E17"/>
    <w:rsid w:val="00DB20A8"/>
    <w:rsid w:val="00DB7919"/>
    <w:rsid w:val="00DC0D17"/>
    <w:rsid w:val="00DC23BD"/>
    <w:rsid w:val="00DC70A6"/>
    <w:rsid w:val="00DD6170"/>
    <w:rsid w:val="00DF19CE"/>
    <w:rsid w:val="00DF4A0A"/>
    <w:rsid w:val="00E063DF"/>
    <w:rsid w:val="00E07BB7"/>
    <w:rsid w:val="00E17633"/>
    <w:rsid w:val="00E2342F"/>
    <w:rsid w:val="00E26CCE"/>
    <w:rsid w:val="00E300AB"/>
    <w:rsid w:val="00E35526"/>
    <w:rsid w:val="00E35F20"/>
    <w:rsid w:val="00E464ED"/>
    <w:rsid w:val="00E6122B"/>
    <w:rsid w:val="00E82DE5"/>
    <w:rsid w:val="00E83A5D"/>
    <w:rsid w:val="00E92EF1"/>
    <w:rsid w:val="00E94F63"/>
    <w:rsid w:val="00EA0CD5"/>
    <w:rsid w:val="00EA787B"/>
    <w:rsid w:val="00EB6437"/>
    <w:rsid w:val="00ED64F9"/>
    <w:rsid w:val="00F03F40"/>
    <w:rsid w:val="00F05EF0"/>
    <w:rsid w:val="00F1732F"/>
    <w:rsid w:val="00F2244D"/>
    <w:rsid w:val="00F238D3"/>
    <w:rsid w:val="00F24405"/>
    <w:rsid w:val="00F261B6"/>
    <w:rsid w:val="00F44285"/>
    <w:rsid w:val="00F56097"/>
    <w:rsid w:val="00F75DDD"/>
    <w:rsid w:val="00F86ED6"/>
    <w:rsid w:val="00FA6158"/>
    <w:rsid w:val="00FB07F4"/>
    <w:rsid w:val="00FB224D"/>
    <w:rsid w:val="00FB4AFF"/>
    <w:rsid w:val="00FB5899"/>
    <w:rsid w:val="00FD4BDE"/>
    <w:rsid w:val="00FE1A6C"/>
    <w:rsid w:val="00FF4CEA"/>
    <w:rsid w:val="00FF556F"/>
    <w:rsid w:val="7EA8E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napToGrid w:val="0"/>
      <w:spacing w:line="560" w:lineRule="exact"/>
      <w:ind w:firstLine="200" w:firstLineChars="200"/>
      <w:outlineLvl w:val="1"/>
    </w:pPr>
    <w:rPr>
      <w:rFonts w:ascii="Cambria" w:hAnsi="Cambria" w:eastAsia="方正楷体_GBK" w:cs="Times New Roman"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next w:val="1"/>
    <w:qFormat/>
    <w:uiPriority w:val="0"/>
    <w:pPr>
      <w:spacing w:before="100" w:beforeAutospacing="1" w:after="100" w:afterAutospacing="1"/>
    </w:pPr>
    <w:rPr>
      <w:rFonts w:ascii="宋体" w:hAnsi="Times New Roman" w:eastAsia="宋体" w:cs="Times New Roman"/>
      <w:kern w:val="0"/>
      <w:sz w:val="24"/>
      <w:szCs w:val="20"/>
      <w:lang w:val="en-US" w:eastAsia="zh-CN" w:bidi="ar-SA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3"/>
    <w:semiHidden/>
    <w:qFormat/>
    <w:uiPriority w:val="99"/>
  </w:style>
  <w:style w:type="character" w:customStyle="1" w:styleId="14">
    <w:name w:val="标题 2 Char"/>
    <w:basedOn w:val="8"/>
    <w:link w:val="2"/>
    <w:qFormat/>
    <w:uiPriority w:val="0"/>
    <w:rPr>
      <w:rFonts w:ascii="Cambria" w:hAnsi="Cambria" w:eastAsia="方正楷体_GBK" w:cs="Times New Roman"/>
      <w:bCs/>
      <w:sz w:val="32"/>
      <w:szCs w:val="32"/>
    </w:rPr>
  </w:style>
  <w:style w:type="paragraph" w:customStyle="1" w:styleId="15">
    <w:name w:val="Char Char Char1 Char Char Char Char Char Char Char Char Char Char"/>
    <w:basedOn w:val="1"/>
    <w:semiHidden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 w:eastAsia="宋体" w:cs="宋体"/>
      <w:sz w:val="24"/>
      <w:szCs w:val="26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650</Words>
  <Characters>3711</Characters>
  <Lines>30</Lines>
  <Paragraphs>8</Paragraphs>
  <TotalTime>9</TotalTime>
  <ScaleCrop>false</ScaleCrop>
  <LinksUpToDate>false</LinksUpToDate>
  <CharactersWithSpaces>4353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2023-02-08T10:53:00Z</dcterms:created>
  <dc:creator>微软用户</dc:creator>
  <cp:lastModifiedBy>user</cp:lastModifiedBy>
  <cp:lastPrinted>2021-09-13T11:52:00Z</cp:lastPrinted>
  <dcterms:modified xsi:type="dcterms:W3CDTF">2023-07-25T16:13:55Z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