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auto"/>
        <w:jc w:val="center"/>
        <w:rPr>
          <w:rFonts w:hint="eastAsia" w:ascii="方正小标宋_GBK" w:hAnsi="方正小标宋_GBK" w:eastAsia="方正小标宋_GBK" w:cs="方正小标宋_GBK"/>
          <w:sz w:val="44"/>
          <w:szCs w:val="44"/>
          <w:shd w:val="clear" w:color="auto" w:fill="FFFFFF"/>
          <w:lang w:eastAsia="zh-CN"/>
        </w:rPr>
      </w:pPr>
      <w:r>
        <w:rPr>
          <w:rFonts w:hint="eastAsia" w:ascii="方正小标宋_GBK" w:hAnsi="方正小标宋_GBK" w:eastAsia="方正小标宋_GBK" w:cs="方正小标宋_GBK"/>
          <w:sz w:val="44"/>
          <w:szCs w:val="44"/>
          <w:shd w:val="clear" w:color="auto" w:fill="FFFFFF"/>
          <w:lang w:eastAsia="zh-CN"/>
        </w:rPr>
        <w:t>重庆市涪陵区人民政府龙桥街道办事处</w:t>
      </w:r>
    </w:p>
    <w:p>
      <w:pPr>
        <w:pStyle w:val="6"/>
        <w:spacing w:before="0" w:beforeAutospacing="0" w:after="0" w:afterAutospacing="0" w:line="360" w:lineRule="auto"/>
        <w:jc w:val="center"/>
        <w:rPr>
          <w:rFonts w:hint="eastAsia" w:ascii="方正小标宋_GBK" w:hAnsi="方正小标宋_GBK" w:eastAsia="方正小标宋_GBK" w:cs="方正小标宋_GBK"/>
          <w:sz w:val="44"/>
          <w:szCs w:val="44"/>
          <w:shd w:val="clear" w:color="auto" w:fill="FFFFFF"/>
          <w:lang w:eastAsia="zh-CN"/>
        </w:rPr>
      </w:pPr>
      <w:r>
        <w:rPr>
          <w:rFonts w:hint="eastAsia" w:ascii="方正小标宋_GBK" w:hAnsi="方正小标宋_GBK" w:eastAsia="方正小标宋_GBK" w:cs="方正小标宋_GBK"/>
          <w:sz w:val="44"/>
          <w:szCs w:val="44"/>
          <w:shd w:val="clear" w:color="auto" w:fill="FFFFFF"/>
          <w:lang w:eastAsia="zh-CN"/>
        </w:rPr>
        <w:t>关于</w:t>
      </w:r>
      <w:r>
        <w:rPr>
          <w:rFonts w:ascii="方正小标宋_GBK" w:hAnsi="方正小标宋_GBK" w:eastAsia="方正小标宋_GBK" w:cs="方正小标宋_GBK"/>
          <w:sz w:val="44"/>
          <w:szCs w:val="44"/>
          <w:shd w:val="clear" w:color="auto" w:fill="FFFFFF"/>
        </w:rPr>
        <w:t xml:space="preserve"> 2024年度决算</w:t>
      </w:r>
      <w:r>
        <w:rPr>
          <w:rFonts w:hint="eastAsia" w:ascii="方正小标宋_GBK" w:hAnsi="方正小标宋_GBK" w:eastAsia="方正小标宋_GBK" w:cs="方正小标宋_GBK"/>
          <w:sz w:val="44"/>
          <w:szCs w:val="44"/>
          <w:shd w:val="clear" w:color="auto" w:fill="FFFFFF"/>
          <w:lang w:eastAsia="zh-CN"/>
        </w:rPr>
        <w:t>的报告</w:t>
      </w:r>
    </w:p>
    <w:p>
      <w:pPr>
        <w:pStyle w:val="6"/>
        <w:shd w:val="clear" w:color="auto" w:fill="FFFFFF"/>
        <w:spacing w:before="0" w:beforeAutospacing="0" w:after="0" w:afterAutospacing="0" w:line="560" w:lineRule="exact"/>
        <w:ind w:firstLine="642"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pPr>
        <w:pStyle w:val="6"/>
        <w:shd w:val="clear" w:color="auto" w:fill="FFFFFF"/>
        <w:spacing w:before="0" w:beforeAutospacing="0" w:after="0" w:afterAutospacing="0" w:line="560" w:lineRule="exact"/>
        <w:ind w:firstLine="642"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（一）职能职责</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 党政办公室主要负责纪检、宣传、统战、法制、武装、人事、民宗侨台以及综合协调、文秘等职责。</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 党群工作办公室统筹负责基层党建、编制、群团等职责。</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 经济发展办公室（挂统计办公室、扶贫开发办公室牌子）主要负责经济发展规划、经济社会统计、扶贫开发等职责。</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 民政和社区事务办公室（挂卫生健康办公室、物业管理办公室牌子）主要负责民政、教育、卫生、计生、老龄事业发展、文化、体育、社会救助、残疾人事业、劳动就业、社会保障、社区事务管理、物业管理等职责。</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 平安建设办公室统筹负责信访、社会治安综合治理、防范和处理邪教等职责。</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 规划建设管理环保办公室主要负责村镇规划、村镇建设、市政公用、市容环卫、生态环境、交通管理等职责。</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 财政办公室主要负责财政收支、预决算、总会计、惠农资金兑付、财政资金监督检查、绩效评价、村级财务管理等职责。</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8. 应急管理办公室统筹负责安全生产综合监管、应急管理、消防管理等职责。</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9.人大</w:t>
      </w:r>
      <w:r>
        <w:rPr>
          <w:rFonts w:hint="eastAsia" w:ascii="方正仿宋_GBK" w:hAnsi="方正仿宋_GBK" w:eastAsia="方正仿宋_GBK" w:cs="方正仿宋_GBK"/>
          <w:sz w:val="32"/>
          <w:szCs w:val="32"/>
          <w:shd w:val="clear" w:color="auto" w:fill="FFFFFF"/>
          <w:lang w:eastAsia="zh-CN"/>
        </w:rPr>
        <w:t>常委会</w:t>
      </w:r>
      <w:bookmarkStart w:id="0" w:name="_GoBack"/>
      <w:bookmarkEnd w:id="0"/>
      <w:r>
        <w:rPr>
          <w:rFonts w:hint="eastAsia" w:ascii="方正仿宋_GBK" w:hAnsi="方正仿宋_GBK" w:eastAsia="方正仿宋_GBK" w:cs="方正仿宋_GBK"/>
          <w:sz w:val="32"/>
          <w:szCs w:val="32"/>
          <w:shd w:val="clear" w:color="auto" w:fill="FFFFFF"/>
        </w:rPr>
        <w:t>办公室负责人大日常工作。</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10. 综合行政执法办公室集中行使依法授权或委托的农林水利、规划建设、生态环境、卫生健康、文化旅游、民政管理、消防等领域的行政执法权。</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11.完成街道党工委、办事处交办的其他任务。</w:t>
      </w:r>
    </w:p>
    <w:p>
      <w:pPr>
        <w:pStyle w:val="6"/>
        <w:shd w:val="clear" w:color="auto" w:fill="FFFFFF"/>
        <w:spacing w:before="0" w:beforeAutospacing="0" w:after="0" w:afterAutospacing="0" w:line="560" w:lineRule="exact"/>
        <w:ind w:firstLine="642" w:firstLineChars="200"/>
        <w:rPr>
          <w:rStyle w:val="10"/>
          <w:rFonts w:hint="default" w:ascii="方正楷体_GBK" w:eastAsia="方正楷体_GBK"/>
          <w:shd w:val="clear" w:color="auto" w:fill="FFFFFF"/>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机构情况：重庆市涪陵区人民政府龙桥街道办事处属正处级行政单位，设有1个行政单位和7个公益一类事业单位，分别为重庆市涪陵区人民政府龙桥街道办事处（本级）、重庆市涪陵区龙桥街道社区事务服务中心、重庆市涪陵区龙桥街道社区文化服务中心、重庆市涪陵区龙桥街道劳动就业和社会保障服务所、重庆市涪陵区龙桥街道退役军人服务站、重庆市涪陵区龙桥街道综合行政执法大队、重庆市涪陵区龙桥街道产业发展服务中心、重庆市涪陵区龙桥街道村居建设服务中心，与上年相比无变动。</w:t>
      </w:r>
    </w:p>
    <w:p>
      <w:pPr>
        <w:pStyle w:val="6"/>
        <w:shd w:val="clear" w:color="auto" w:fill="FFFFFF"/>
        <w:spacing w:before="0" w:beforeAutospacing="0" w:after="0" w:afterAutospacing="0" w:line="560" w:lineRule="exact"/>
        <w:ind w:firstLine="642"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w:t>
      </w:r>
      <w:r>
        <w:rPr>
          <w:rFonts w:hint="eastAsia" w:ascii="方正仿宋_GBK" w:hAnsi="方正仿宋_GBK" w:eastAsia="方正仿宋_GBK" w:cs="方正仿宋_GBK"/>
          <w:sz w:val="32"/>
          <w:szCs w:val="32"/>
          <w:shd w:val="clear" w:color="auto" w:fill="FFFFFF"/>
          <w:lang w:val="en-US" w:eastAsia="zh-CN"/>
        </w:rPr>
        <w:t>6695.49</w:t>
      </w:r>
      <w:r>
        <w:rPr>
          <w:rFonts w:ascii="方正仿宋_GBK" w:hAnsi="方正仿宋_GBK" w:eastAsia="方正仿宋_GBK" w:cs="方正仿宋_GBK"/>
          <w:sz w:val="32"/>
          <w:szCs w:val="32"/>
          <w:shd w:val="clear" w:color="auto" w:fill="FFFFFF"/>
        </w:rPr>
        <w:t>万元，支出总计</w:t>
      </w:r>
      <w:r>
        <w:rPr>
          <w:rFonts w:hint="eastAsia" w:ascii="方正仿宋_GBK" w:hAnsi="方正仿宋_GBK" w:eastAsia="方正仿宋_GBK" w:cs="方正仿宋_GBK"/>
          <w:sz w:val="32"/>
          <w:szCs w:val="32"/>
          <w:lang w:val="en-US" w:eastAsia="zh-CN"/>
        </w:rPr>
        <w:t>6695.49</w:t>
      </w:r>
      <w:r>
        <w:rPr>
          <w:rFonts w:ascii="方正仿宋_GBK" w:hAnsi="方正仿宋_GBK" w:eastAsia="方正仿宋_GBK" w:cs="方正仿宋_GBK"/>
          <w:sz w:val="32"/>
          <w:szCs w:val="32"/>
          <w:shd w:val="clear" w:color="auto" w:fill="FFFFFF"/>
        </w:rPr>
        <w:t>万元。收支较上年决算数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1806.52万元，上升36.95%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政府性基金预算财政拨款收入增加</w:t>
      </w:r>
      <w:r>
        <w:rPr>
          <w:rFonts w:ascii="方正仿宋_GBK" w:hAnsi="方正仿宋_GBK" w:eastAsia="方正仿宋_GBK" w:cs="方正仿宋_GBK"/>
          <w:sz w:val="32"/>
          <w:szCs w:val="32"/>
          <w:shd w:val="clear" w:color="auto" w:fill="FFFFFF"/>
        </w:rPr>
        <w:t>。</w:t>
      </w:r>
    </w:p>
    <w:p>
      <w:pPr>
        <w:pStyle w:val="6"/>
        <w:shd w:val="clear" w:color="auto" w:fill="FFFFFF"/>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w:t>
      </w:r>
      <w:r>
        <w:rPr>
          <w:rFonts w:hint="eastAsia" w:ascii="方正仿宋_GBK" w:hAnsi="方正仿宋_GBK" w:eastAsia="方正仿宋_GBK" w:cs="方正仿宋_GBK"/>
          <w:sz w:val="32"/>
          <w:szCs w:val="32"/>
          <w:shd w:val="clear" w:color="auto" w:fill="FFFFFF"/>
          <w:lang w:val="en-US" w:eastAsia="zh-CN"/>
        </w:rPr>
        <w:t>6695.43</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1806.53万元，上升36.95%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政府性基金预算财政拨款收入增加</w:t>
      </w:r>
      <w:r>
        <w:rPr>
          <w:rFonts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lang w:val="en-US" w:eastAsia="zh-CN"/>
        </w:rPr>
        <w:t>6695.43</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100.00%</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0.00%</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0.00%</w:t>
      </w:r>
      <w:r>
        <w:rPr>
          <w:rFonts w:ascii="方正仿宋_GBK" w:hAnsi="方正仿宋_GBK" w:eastAsia="方正仿宋_GBK" w:cs="方正仿宋_GBK"/>
          <w:sz w:val="32"/>
          <w:szCs w:val="32"/>
          <w:shd w:val="clear" w:color="auto" w:fill="FFFFFF"/>
        </w:rPr>
        <w:t>；其他收入</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0.00%</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lang w:val="en-US" w:eastAsia="zh-CN"/>
        </w:rPr>
        <w:t>0.06</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hint="eastAsia" w:ascii="方正仿宋_GBK" w:hAnsi="方正仿宋_GBK" w:eastAsia="方正仿宋_GBK" w:cs="方正仿宋_GBK"/>
          <w:sz w:val="32"/>
          <w:szCs w:val="32"/>
          <w:lang w:val="en-US" w:eastAsia="zh-CN"/>
        </w:rPr>
        <w:t>6695.43</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1806.52万元，上升36.95%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社会保障和就业支出、农林水支出增加</w:t>
      </w:r>
      <w:r>
        <w:rPr>
          <w:rFonts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lang w:val="en-US" w:eastAsia="zh-CN"/>
        </w:rPr>
        <w:t>4338.07</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64.79%</w:t>
      </w:r>
      <w:r>
        <w:rPr>
          <w:rFonts w:ascii="方正仿宋_GBK" w:hAnsi="方正仿宋_GBK" w:eastAsia="方正仿宋_GBK" w:cs="方正仿宋_GBK"/>
          <w:sz w:val="32"/>
          <w:szCs w:val="32"/>
          <w:shd w:val="clear" w:color="auto" w:fill="FFFFFF"/>
        </w:rPr>
        <w:t>；项目支出</w:t>
      </w:r>
      <w:r>
        <w:rPr>
          <w:rFonts w:hint="eastAsia" w:ascii="方正仿宋_GBK" w:hAnsi="方正仿宋_GBK" w:eastAsia="方正仿宋_GBK" w:cs="方正仿宋_GBK"/>
          <w:sz w:val="32"/>
          <w:szCs w:val="32"/>
          <w:lang w:val="en-US" w:eastAsia="zh-CN"/>
        </w:rPr>
        <w:t>2357.35</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35.21%</w:t>
      </w:r>
      <w:r>
        <w:rPr>
          <w:rFonts w:ascii="方正仿宋_GBK" w:hAnsi="方正仿宋_GBK" w:eastAsia="方正仿宋_GBK" w:cs="方正仿宋_GBK"/>
          <w:sz w:val="32"/>
          <w:szCs w:val="32"/>
          <w:shd w:val="clear" w:color="auto" w:fill="FFFFFF"/>
        </w:rPr>
        <w:t>；经营支出</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0.00%</w:t>
      </w:r>
      <w:r>
        <w:rPr>
          <w:rFonts w:ascii="方正仿宋_GBK" w:hAnsi="方正仿宋_GBK" w:eastAsia="方正仿宋_GBK" w:cs="方正仿宋_GBK"/>
          <w:sz w:val="32"/>
          <w:szCs w:val="32"/>
          <w:shd w:val="clear" w:color="auto" w:fill="FFFFFF"/>
        </w:rPr>
        <w:t>。此外，结余分配</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hint="eastAsia" w:ascii="方正仿宋_GBK" w:hAnsi="方正仿宋_GBK" w:eastAsia="方正仿宋_GBK" w:cs="方正仿宋_GBK"/>
          <w:sz w:val="32"/>
          <w:szCs w:val="32"/>
          <w:lang w:val="en-US" w:eastAsia="zh-CN"/>
        </w:rPr>
        <w:t>0.06</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w:t>
      </w:r>
      <w:r>
        <w:rPr>
          <w:rFonts w:hint="eastAsia" w:ascii="方正仿宋_GBK" w:hAnsi="方正仿宋_GBK" w:eastAsia="方正仿宋_GBK" w:cs="方正仿宋_GBK"/>
          <w:sz w:val="32"/>
          <w:szCs w:val="32"/>
          <w:shd w:val="clear" w:color="auto" w:fill="FFFFFF"/>
          <w:lang w:val="en-US" w:eastAsia="zh-CN"/>
        </w:rPr>
        <w:t>13390.98</w:t>
      </w:r>
      <w:r>
        <w:rPr>
          <w:rFonts w:ascii="方正仿宋_GBK" w:hAnsi="方正仿宋_GBK" w:eastAsia="方正仿宋_GBK" w:cs="方正仿宋_GBK"/>
          <w:sz w:val="32"/>
          <w:szCs w:val="32"/>
          <w:shd w:val="clear" w:color="auto" w:fill="FFFFFF"/>
        </w:rPr>
        <w:t>万元。与2023年相比，</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3613.04万元，上升36.95%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社会保障和就业支出、农林水支出增加</w:t>
      </w:r>
      <w:r>
        <w:rPr>
          <w:rFonts w:ascii="方正仿宋_GBK" w:hAnsi="方正仿宋_GBK" w:eastAsia="方正仿宋_GBK" w:cs="方正仿宋_GBK"/>
          <w:sz w:val="32"/>
          <w:szCs w:val="32"/>
          <w:shd w:val="clear" w:color="auto" w:fill="FFFFFF"/>
        </w:rPr>
        <w:t>。</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hint="eastAsia" w:ascii="方正仿宋_GBK" w:hAnsi="方正仿宋_GBK" w:eastAsia="方正仿宋_GBK" w:cs="方正仿宋_GBK"/>
          <w:sz w:val="32"/>
          <w:szCs w:val="32"/>
          <w:lang w:val="en-US" w:eastAsia="zh-CN"/>
        </w:rPr>
        <w:t>5031.21</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340.26万元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上升</w:t>
      </w:r>
      <w:r>
        <w:rPr>
          <w:rFonts w:hint="eastAsia" w:ascii="方正仿宋_GBK" w:hAnsi="方正仿宋_GBK" w:eastAsia="方正仿宋_GBK" w:cs="方正仿宋_GBK"/>
          <w:sz w:val="32"/>
          <w:szCs w:val="32"/>
          <w:shd w:val="clear" w:color="auto" w:fill="FFFFFF"/>
          <w:lang w:val="en-US" w:eastAsia="zh-CN"/>
        </w:rPr>
        <w:t>7.25%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是行政运行增加</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486.26万元，上升10.70%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是一般公共服务、社会保障和就业增加</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0.06</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hint="eastAsia" w:ascii="方正仿宋_GBK" w:hAnsi="方正仿宋_GBK" w:eastAsia="方正仿宋_GBK" w:cs="方正仿宋_GBK"/>
          <w:sz w:val="32"/>
          <w:szCs w:val="32"/>
          <w:lang w:val="en-US" w:eastAsia="zh-CN"/>
        </w:rPr>
        <w:t>5031.21</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340.26万元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上升</w:t>
      </w:r>
      <w:r>
        <w:rPr>
          <w:rFonts w:hint="eastAsia" w:ascii="方正仿宋_GBK" w:hAnsi="方正仿宋_GBK" w:eastAsia="方正仿宋_GBK" w:cs="方正仿宋_GBK"/>
          <w:sz w:val="32"/>
          <w:szCs w:val="32"/>
          <w:shd w:val="clear" w:color="auto" w:fill="FFFFFF"/>
          <w:lang w:val="en-US" w:eastAsia="zh-CN"/>
        </w:rPr>
        <w:t>7.25%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是行政运行增加</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486.26万元，上升10.70%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是一般公共服务、社会保障和就业增加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hint="eastAsia" w:ascii="方正仿宋_GBK" w:hAnsi="方正仿宋_GBK" w:eastAsia="方正仿宋_GBK" w:cs="方正仿宋_GBK"/>
          <w:sz w:val="32"/>
          <w:szCs w:val="32"/>
          <w:lang w:val="en-US" w:eastAsia="zh-CN"/>
        </w:rPr>
        <w:t>0.06</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2" w:firstLineChars="200"/>
        <w:rPr>
          <w:rFonts w:hint="default" w:ascii="方正仿宋_GBK" w:hAnsi="方正仿宋_GBK" w:eastAsia="方正仿宋_GBK" w:cs="方正仿宋_GBK"/>
          <w:sz w:val="32"/>
          <w:szCs w:val="32"/>
          <w:highlight w:val="yellow"/>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2"/>
          <w:szCs w:val="32"/>
          <w:lang w:val="en-US" w:eastAsia="zh-CN"/>
        </w:rPr>
        <w:t>1259.49</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25.03%</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236.61万元，上升23.13%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是行政运行增加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lang w:val="en-US" w:eastAsia="zh-CN"/>
        </w:rPr>
        <w:t>150.99</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3.00%</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3.96万元，上升2.69%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是其他文化和旅游支出增加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lang w:val="en-US" w:eastAsia="zh-CN"/>
        </w:rPr>
        <w:t>1278.44</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25.41%</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174.5万元，上升15.81%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是行政事业单位养老支出增加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lang w:val="en-US" w:eastAsia="zh-CN"/>
        </w:rPr>
        <w:t>199.33</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3.96%</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0.07万元</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是行政事业单位医疗减少</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lang w:val="en-US" w:eastAsia="zh-CN"/>
        </w:rPr>
        <w:t>256.98</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5.11%</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3.67万元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下降</w:t>
      </w:r>
      <w:r>
        <w:rPr>
          <w:rFonts w:hint="eastAsia" w:ascii="方正仿宋_GBK" w:hAnsi="方正仿宋_GBK" w:eastAsia="方正仿宋_GBK" w:cs="方正仿宋_GBK"/>
          <w:sz w:val="32"/>
          <w:szCs w:val="32"/>
          <w:shd w:val="clear" w:color="auto" w:fill="FFFFFF"/>
          <w:lang w:val="en-US" w:eastAsia="zh-CN"/>
        </w:rPr>
        <w:t>1.45%，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是其他环境保护管理事务支出减少</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lang w:val="en-US" w:eastAsia="zh-CN"/>
        </w:rPr>
        <w:t>935.88</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18.60%</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26.93万元，上升29.63%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是其他城乡社区管理事务支出增加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lang w:val="en-US" w:eastAsia="zh-CN"/>
        </w:rPr>
        <w:t>717.20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占</w:t>
      </w:r>
      <w:r>
        <w:rPr>
          <w:rFonts w:hint="eastAsia" w:ascii="方正仿宋_GBK" w:hAnsi="方正仿宋_GBK" w:eastAsia="方正仿宋_GBK" w:cs="方正仿宋_GBK"/>
          <w:sz w:val="32"/>
          <w:szCs w:val="32"/>
          <w:lang w:val="en-US" w:eastAsia="zh-CN"/>
        </w:rPr>
        <w:t>14.26%</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10.66万元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上升</w:t>
      </w:r>
      <w:r>
        <w:rPr>
          <w:rFonts w:hint="eastAsia" w:ascii="方正仿宋_GBK" w:hAnsi="方正仿宋_GBK" w:eastAsia="方正仿宋_GBK" w:cs="方正仿宋_GBK"/>
          <w:sz w:val="32"/>
          <w:szCs w:val="32"/>
          <w:shd w:val="clear" w:color="auto" w:fill="FFFFFF"/>
          <w:lang w:val="en-US" w:eastAsia="zh-CN"/>
        </w:rPr>
        <w:t>1.51%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事业运行增加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lang w:val="en-US" w:eastAsia="zh-CN"/>
        </w:rPr>
        <w:t>30</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0.60%</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30万元</w:t>
      </w:r>
      <w:r>
        <w:rPr>
          <w:rFonts w:ascii="方正仿宋_GBK" w:hAnsi="方正仿宋_GBK" w:eastAsia="方正仿宋_GBK" w:cs="方正仿宋_GBK"/>
          <w:sz w:val="32"/>
          <w:szCs w:val="32"/>
          <w:shd w:val="clear" w:color="auto" w:fill="FFFFFF"/>
        </w:rPr>
        <w:t>。</w:t>
      </w:r>
    </w:p>
    <w:p>
      <w:pPr>
        <w:spacing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202.90</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4.33%</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hint="eastAsia" w:ascii="方正仿宋_GBK" w:hAnsi="方正仿宋_GBK" w:eastAsia="方正仿宋_GBK" w:cs="方正仿宋_GBK"/>
          <w:sz w:val="32"/>
          <w:szCs w:val="32"/>
          <w:lang w:val="en-US" w:eastAsia="zh-CN"/>
        </w:rPr>
        <w:t>4338.07</w:t>
      </w:r>
      <w:r>
        <w:rPr>
          <w:rFonts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lang w:val="en-US" w:eastAsia="zh-CN"/>
        </w:rPr>
        <w:t>3543.64</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234.98万元，下降6.22%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是生活补助减少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工资福利支持、生活补助</w:t>
      </w:r>
      <w:r>
        <w:rPr>
          <w:rFonts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lang w:val="en-US" w:eastAsia="zh-CN"/>
        </w:rPr>
        <w:t>794.44</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322.47万元，上升68.32%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是办公设备购置增加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商品和服务支出</w:t>
      </w:r>
      <w:r>
        <w:rPr>
          <w:rFonts w:ascii="方正仿宋_GBK" w:hAnsi="方正仿宋_GBK" w:eastAsia="方正仿宋_GBK" w:cs="方正仿宋_GBK"/>
          <w:sz w:val="32"/>
          <w:szCs w:val="32"/>
          <w:shd w:val="clear" w:color="auto" w:fill="FFFFFF"/>
        </w:rPr>
        <w:t>。</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lang w:val="en-US" w:eastAsia="zh-CN"/>
        </w:rPr>
        <w:t>1664.21</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315.27万元，下降15.93%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是农林水支出减少</w:t>
      </w:r>
      <w:r>
        <w:rPr>
          <w:rFonts w:ascii="方正仿宋_GBK" w:hAnsi="方正仿宋_GBK" w:eastAsia="方正仿宋_GBK" w:cs="方正仿宋_GBK"/>
          <w:sz w:val="32"/>
          <w:szCs w:val="32"/>
          <w:shd w:val="clear" w:color="auto" w:fill="FFFFFF"/>
        </w:rPr>
        <w:t>。本年支出</w:t>
      </w:r>
      <w:r>
        <w:rPr>
          <w:rFonts w:hint="eastAsia" w:ascii="方正仿宋_GBK" w:hAnsi="方正仿宋_GBK" w:eastAsia="方正仿宋_GBK" w:cs="方正仿宋_GBK"/>
          <w:sz w:val="32"/>
          <w:szCs w:val="32"/>
          <w:lang w:val="en-US" w:eastAsia="zh-CN"/>
        </w:rPr>
        <w:t>1664.21</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315.27万元，下降15.93%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是农林水支出减少</w:t>
      </w:r>
      <w:r>
        <w:rPr>
          <w:rFonts w:ascii="方正仿宋_GBK" w:hAnsi="方正仿宋_GBK" w:eastAsia="方正仿宋_GBK" w:cs="方正仿宋_GBK"/>
          <w:sz w:val="32"/>
          <w:szCs w:val="32"/>
          <w:shd w:val="clear" w:color="auto" w:fill="FFFFFF"/>
        </w:rPr>
        <w:t>。</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本部门2024年度无国有资本经营预算财政拨款支出。</w:t>
      </w:r>
    </w:p>
    <w:p>
      <w:pPr>
        <w:pStyle w:val="6"/>
        <w:shd w:val="clear" w:color="auto" w:fill="FFFFFF"/>
        <w:spacing w:before="0" w:beforeAutospacing="0" w:after="0" w:afterAutospacing="0" w:line="560" w:lineRule="exact"/>
        <w:ind w:firstLine="642"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（一）“三公”经费支出总体情况说明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hint="eastAsia" w:ascii="方正仿宋_GBK" w:hAnsi="方正仿宋_GBK" w:eastAsia="方正仿宋_GBK" w:cs="方正仿宋_GBK"/>
          <w:sz w:val="32"/>
          <w:szCs w:val="32"/>
          <w:lang w:val="en-US" w:eastAsia="zh-CN"/>
        </w:rPr>
        <w:t>23.31</w:t>
      </w:r>
      <w:r>
        <w:rPr>
          <w:rFonts w:ascii="方正仿宋_GBK" w:hAnsi="方正仿宋_GBK" w:eastAsia="方正仿宋_GBK" w:cs="方正仿宋_GBK"/>
          <w:sz w:val="32"/>
          <w:szCs w:val="32"/>
          <w:shd w:val="clear" w:color="auto" w:fill="FFFFFF"/>
        </w:rPr>
        <w:t>万元，较年初预算数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1.31万元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上升</w:t>
      </w:r>
      <w:r>
        <w:rPr>
          <w:rFonts w:hint="eastAsia" w:ascii="方正仿宋_GBK" w:hAnsi="方正仿宋_GBK" w:eastAsia="方正仿宋_GBK" w:cs="方正仿宋_GBK"/>
          <w:sz w:val="32"/>
          <w:szCs w:val="32"/>
          <w:shd w:val="clear" w:color="auto" w:fill="FFFFFF"/>
          <w:lang w:val="en-US" w:eastAsia="zh-CN"/>
        </w:rPr>
        <w:t>5.95%，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是公务用车运行维护费增加</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0.21万元，下降0.90%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公务用车运行费</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（二）“三公”经费分项支出情况</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万元。较年初预算数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万元。较年初预算数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lang w:val="en-US" w:eastAsia="zh-CN"/>
        </w:rPr>
        <w:t>23.31</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公务用车运行维护</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1.31万元</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上升</w:t>
      </w:r>
      <w:r>
        <w:rPr>
          <w:rFonts w:hint="eastAsia" w:ascii="方正仿宋_GBK" w:hAnsi="方正仿宋_GBK" w:eastAsia="方正仿宋_GBK" w:cs="方正仿宋_GBK"/>
          <w:sz w:val="32"/>
          <w:szCs w:val="32"/>
          <w:shd w:val="clear" w:color="auto" w:fill="FFFFFF"/>
          <w:lang w:val="en-US" w:eastAsia="zh-CN"/>
        </w:rPr>
        <w:t>5.95%，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是公务用车运行维护费增加</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0.21万元，下降0.90%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公务用车运行费</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万元。较年初预算数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（三）“三公”经费实物量情况</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2024年度本部门因公出国（境）共计</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lang w:val="en-US" w:eastAsia="zh-CN"/>
        </w:rPr>
        <w:t>13</w:t>
      </w:r>
      <w:r>
        <w:rPr>
          <w:rFonts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人。2024年本部门人均接待费</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lang w:val="en-US" w:eastAsia="zh-CN"/>
        </w:rPr>
        <w:t>23.31</w:t>
      </w:r>
      <w:r>
        <w:rPr>
          <w:rFonts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lang w:val="en-US" w:eastAsia="zh-CN"/>
        </w:rPr>
        <w:t>1.79</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ind w:firstLine="642"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（一）财政拨款会议费和培训费情况说明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万元。本年度培训费支出</w:t>
      </w:r>
      <w:r>
        <w:rPr>
          <w:rFonts w:hint="eastAsia" w:ascii="方正仿宋_GBK" w:hAnsi="方正仿宋_GBK" w:eastAsia="方正仿宋_GBK" w:cs="方正仿宋_GBK"/>
          <w:sz w:val="32"/>
          <w:szCs w:val="32"/>
          <w:lang w:val="en-US" w:eastAsia="zh-CN"/>
        </w:rPr>
        <w:t>13.40</w:t>
      </w:r>
      <w:r>
        <w:rPr>
          <w:rFonts w:ascii="方正仿宋_GBK" w:hAnsi="方正仿宋_GBK" w:eastAsia="方正仿宋_GBK" w:cs="方正仿宋_GBK"/>
          <w:sz w:val="32"/>
          <w:szCs w:val="32"/>
          <w:shd w:val="clear" w:color="auto" w:fill="FFFFFF"/>
        </w:rPr>
        <w:t>万元。</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（二）机关运行经费情况说明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hint="eastAsia" w:ascii="方正仿宋_GBK" w:hAnsi="方正仿宋_GBK" w:eastAsia="方正仿宋_GBK" w:cs="方正仿宋_GBK"/>
          <w:sz w:val="32"/>
          <w:szCs w:val="32"/>
          <w:lang w:val="en-US" w:eastAsia="zh-CN"/>
        </w:rPr>
        <w:t>399.98</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方正仿宋_GBK" w:eastAsia="方正仿宋_GBK" w:cs="方正仿宋_GBK"/>
          <w:sz w:val="32"/>
          <w:szCs w:val="32"/>
          <w:shd w:val="clear" w:color="auto" w:fill="FFFFFF"/>
          <w:lang w:eastAsia="zh-CN"/>
        </w:rPr>
        <w:t>行政单位</w:t>
      </w:r>
      <w:r>
        <w:rPr>
          <w:rFonts w:ascii="方正仿宋_GBK" w:hAnsi="方正仿宋_GBK" w:eastAsia="方正仿宋_GBK" w:cs="方正仿宋_GBK"/>
          <w:sz w:val="32"/>
          <w:szCs w:val="32"/>
          <w:shd w:val="clear" w:color="auto" w:fill="FFFFFF"/>
        </w:rPr>
        <w:t>。</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（三）国有资产占用情况说明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hint="eastAsia" w:ascii="方正仿宋_GBK" w:hAnsi="方正仿宋_GBK" w:eastAsia="方正仿宋_GBK" w:cs="方正仿宋_GBK"/>
          <w:sz w:val="32"/>
          <w:szCs w:val="32"/>
          <w:lang w:val="en-US" w:eastAsia="zh-CN"/>
        </w:rPr>
        <w:t>13</w:t>
      </w:r>
      <w:r>
        <w:rPr>
          <w:rFonts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lang w:val="en-US" w:eastAsia="zh-CN"/>
        </w:rPr>
        <w:t>13</w:t>
      </w:r>
      <w:r>
        <w:rPr>
          <w:rFonts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台（套）。</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hint="eastAsia" w:ascii="方正仿宋_GBK" w:hAnsi="方正仿宋_GBK" w:eastAsia="方正仿宋_GBK" w:cs="方正仿宋_GBK"/>
          <w:sz w:val="32"/>
          <w:szCs w:val="32"/>
          <w:lang w:val="en-US" w:eastAsia="zh-CN"/>
        </w:rPr>
        <w:t>1140.96</w:t>
      </w:r>
      <w:r>
        <w:rPr>
          <w:rFonts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lang w:val="en-US" w:eastAsia="zh-CN"/>
        </w:rPr>
        <w:t>0.00</w:t>
      </w:r>
      <w:r>
        <w:rPr>
          <w:rFonts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lang w:val="en-US" w:eastAsia="zh-CN"/>
        </w:rPr>
        <w:t>988.56</w:t>
      </w:r>
      <w:r>
        <w:rPr>
          <w:rFonts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lang w:val="en-US" w:eastAsia="zh-CN"/>
        </w:rPr>
        <w:t>1524.00</w:t>
      </w:r>
      <w:r>
        <w:rPr>
          <w:rFonts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lang w:val="en-US" w:eastAsia="zh-CN"/>
        </w:rPr>
        <w:t>1140.96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lang w:val="en-US" w:eastAsia="zh-CN"/>
        </w:rPr>
        <w:t>100%</w:t>
      </w:r>
      <w:r>
        <w:rPr>
          <w:rFonts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lang w:val="en-US" w:eastAsia="zh-CN"/>
        </w:rPr>
        <w:t>1140.96</w:t>
      </w:r>
      <w:r>
        <w:rPr>
          <w:rFonts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lang w:val="en-US" w:eastAsia="zh-CN"/>
        </w:rPr>
        <w:t>100%</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sz w:val="32"/>
          <w:szCs w:val="32"/>
        </w:rPr>
        <w:t>授予小微企业合同金额</w:t>
      </w:r>
      <w:r>
        <w:rPr>
          <w:rFonts w:ascii="方正仿宋_GBK" w:hAnsi="方正仿宋_GBK" w:eastAsia="方正仿宋_GBK" w:cs="方正仿宋_GBK"/>
          <w:sz w:val="32"/>
          <w:szCs w:val="32"/>
        </w:rPr>
        <w:t>。</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xml:space="preserve">    五、预算绩效管理情况说明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（一）部门自评情况</w:t>
      </w:r>
    </w:p>
    <w:p>
      <w:pPr>
        <w:pStyle w:val="13"/>
        <w:autoSpaceDE w:val="0"/>
        <w:spacing w:before="0" w:beforeAutospacing="0" w:after="0" w:afterAutospacing="0" w:line="560" w:lineRule="exact"/>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方正仿宋_GBK" w:hAnsi="方正仿宋_GBK" w:eastAsia="方正仿宋_GBK" w:cs="方正仿宋_GBK"/>
          <w:sz w:val="32"/>
          <w:szCs w:val="32"/>
          <w:shd w:val="clear" w:color="auto" w:fill="FFFFFF"/>
          <w:lang w:eastAsia="zh-CN"/>
        </w:rPr>
        <w:t>两</w:t>
      </w:r>
      <w:r>
        <w:rPr>
          <w:rFonts w:hint="eastAsia" w:ascii="方正仿宋_GBK" w:hAnsi="方正仿宋_GBK" w:eastAsia="方正仿宋_GBK" w:cs="方正仿宋_GBK"/>
          <w:sz w:val="32"/>
          <w:szCs w:val="32"/>
          <w:shd w:val="clear" w:color="auto" w:fill="FFFFFF"/>
        </w:rPr>
        <w:t>个项目开展了绩效评价。</w:t>
      </w:r>
    </w:p>
    <w:p>
      <w:pPr>
        <w:pStyle w:val="13"/>
        <w:autoSpaceDE w:val="0"/>
        <w:spacing w:before="0" w:beforeAutospacing="0" w:after="0" w:afterAutospacing="0" w:line="560" w:lineRule="exact"/>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 xml:space="preserve">    1.部门整体绩效自评表（见附件表10-1）</w:t>
      </w:r>
    </w:p>
    <w:p>
      <w:pPr>
        <w:pStyle w:val="13"/>
        <w:autoSpaceDE w:val="0"/>
        <w:spacing w:before="0" w:beforeAutospacing="0" w:after="0" w:afterAutospacing="0" w:line="560" w:lineRule="exact"/>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 xml:space="preserve">    2.项目支出绩效自评汇总表（见附件表10-2）</w:t>
      </w:r>
    </w:p>
    <w:p>
      <w:pPr>
        <w:pStyle w:val="13"/>
        <w:spacing w:before="0" w:beforeAutospacing="0" w:after="0" w:afterAutospacing="0" w:line="560" w:lineRule="exact"/>
        <w:rPr>
          <w:rStyle w:val="14"/>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3.项目支出绩效自评表（见附件表10-3）</w:t>
      </w:r>
    </w:p>
    <w:p>
      <w:pPr>
        <w:pStyle w:val="12"/>
        <w:autoSpaceDE w:val="0"/>
        <w:spacing w:line="560" w:lineRule="exact"/>
        <w:ind w:firstLine="643"/>
        <w:rPr>
          <w:rFonts w:ascii="方正仿宋_GBK" w:hAnsi="Times New Roman" w:eastAsia="方正仿宋_GBK" w:cs="宋体"/>
          <w:sz w:val="32"/>
          <w:szCs w:val="32"/>
          <w:highlight w:val="yellow"/>
        </w:rPr>
      </w:pPr>
      <w:r>
        <w:rPr>
          <w:rFonts w:hint="eastAsia" w:ascii="方正楷体_GBK" w:hAnsi="楷体" w:eastAsia="方正楷体_GBK" w:cs="楷体"/>
          <w:b/>
          <w:bCs/>
          <w:sz w:val="32"/>
          <w:szCs w:val="32"/>
          <w:shd w:val="clear" w:color="auto" w:fill="FFFFFF"/>
        </w:rPr>
        <w:t>（二）部门绩效评价情况</w:t>
      </w:r>
    </w:p>
    <w:p>
      <w:pPr>
        <w:pStyle w:val="17"/>
        <w:tabs>
          <w:tab w:val="center" w:pos="4153"/>
          <w:tab w:val="left" w:pos="7275"/>
        </w:tabs>
        <w:spacing w:line="560" w:lineRule="exact"/>
        <w:ind w:firstLine="640"/>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本单位没有委托第三方开展绩效评价。</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（三）财政绩效评价情况</w:t>
      </w:r>
    </w:p>
    <w:p>
      <w:pPr>
        <w:pStyle w:val="12"/>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highlight w:val="none"/>
          <w:shd w:val="clear" w:color="auto" w:fill="FFFFFF"/>
        </w:rPr>
        <w:t>区财政局未委托第三方对我部门开展绩效评价。</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xml:space="preserve">    六、名词解释</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Fonts w:ascii="方正楷体_GBK" w:hAnsi="楷体" w:eastAsia="方正楷体_GBK"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（二）事业收入</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（三）经营收入</w:t>
      </w:r>
      <w:r>
        <w:rPr>
          <w:rStyle w:val="10"/>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（四）其他收入</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（五）使用非财政拨款结余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（六）年初结转和结余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（七）结余分配</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（八）年末结转和结余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（九）基本支出</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（十）项目支出</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（十一）经营支出</w:t>
      </w:r>
      <w:r>
        <w:rPr>
          <w:rStyle w:val="10"/>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（十二）“三公”经费</w:t>
      </w:r>
      <w:r>
        <w:rPr>
          <w:rStyle w:val="10"/>
          <w:rFonts w:ascii="方正楷体_GBK" w:eastAsia="方正楷体_GBK"/>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（十三）机关运行经费</w:t>
      </w:r>
      <w:r>
        <w:rPr>
          <w:rStyle w:val="10"/>
          <w:rFonts w:ascii="方正楷体_GBK" w:eastAsia="方正楷体_GBK"/>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（十四）工资福利支出（支出经济分类科目类级）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（十五）商品和服务支出（支出经济分类科目类级）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60" w:lineRule="exact"/>
        <w:ind w:firstLine="642" w:firstLineChars="200"/>
        <w:jc w:val="both"/>
        <w:rPr>
          <w:rFonts w:hint="default" w:ascii="方正楷体_GBK" w:hAnsi="楷体" w:eastAsia="方正楷体_GBK" w:cs="楷体"/>
          <w:b/>
          <w:sz w:val="32"/>
          <w:szCs w:val="32"/>
          <w:shd w:val="clear" w:color="auto" w:fill="FFFFFF"/>
        </w:rPr>
      </w:pPr>
      <w:r>
        <w:rPr>
          <w:rStyle w:val="10"/>
          <w:rFonts w:ascii="方正楷体_GBK" w:hAnsi="楷体" w:eastAsia="方正楷体_GBK" w:cs="楷体"/>
          <w:sz w:val="32"/>
          <w:szCs w:val="32"/>
          <w:shd w:val="clear" w:color="auto" w:fill="FFFFFF"/>
        </w:rPr>
        <w:t>（十六）其他资本性支出（支出经济分类科目类级）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xml:space="preserve">    七、决算公开联系方式及信息反馈渠道</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联系人：</w:t>
      </w:r>
      <w:r>
        <w:rPr>
          <w:rFonts w:hint="eastAsia" w:ascii="方正仿宋_GBK" w:hAnsi="方正仿宋_GBK" w:eastAsia="方正仿宋_GBK" w:cs="方正仿宋_GBK"/>
          <w:sz w:val="32"/>
          <w:szCs w:val="32"/>
          <w:shd w:val="clear" w:color="auto" w:fill="FFFFFF"/>
          <w:lang w:eastAsia="zh-CN"/>
        </w:rPr>
        <w:t>袁杨</w:t>
      </w:r>
      <w:r>
        <w:rPr>
          <w:rFonts w:ascii="方正仿宋_GBK" w:hAnsi="方正仿宋_GBK" w:eastAsia="方正仿宋_GBK" w:cs="方正仿宋_GBK"/>
          <w:sz w:val="32"/>
          <w:szCs w:val="32"/>
          <w:shd w:val="clear" w:color="auto" w:fill="FFFFFF"/>
        </w:rPr>
        <w:t>，联系电话：</w:t>
      </w:r>
      <w:r>
        <w:rPr>
          <w:rFonts w:hint="eastAsia" w:ascii="方正仿宋_GBK" w:hAnsi="方正仿宋_GBK" w:eastAsia="方正仿宋_GBK" w:cs="方正仿宋_GBK"/>
          <w:sz w:val="32"/>
          <w:szCs w:val="32"/>
          <w:shd w:val="clear" w:color="auto" w:fill="FFFFFF"/>
          <w:lang w:val="en-US" w:eastAsia="zh-CN"/>
        </w:rPr>
        <w:t>72132528</w:t>
      </w:r>
    </w:p>
    <w:sectPr>
      <w:headerReference r:id="rId3" w:type="default"/>
      <w:footerReference r:id="rId4" w:type="default"/>
      <w:pgSz w:w="11850" w:h="16783"/>
      <w:pgMar w:top="1440" w:right="1800" w:bottom="1440" w:left="1800" w:header="0" w:footer="79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3"/>
          <w:jc w:val="center"/>
        </w:pPr>
        <w:r>
          <w:rPr>
            <w:sz w:val="24"/>
          </w:rPr>
          <w:fldChar w:fldCharType="begin"/>
        </w:r>
        <w:r>
          <w:rPr>
            <w:sz w:val="24"/>
          </w:rPr>
          <w:instrText xml:space="preserve">PAGE   \* MERGEFORMAT</w:instrText>
        </w:r>
        <w:r>
          <w:rPr>
            <w:sz w:val="24"/>
          </w:rPr>
          <w:fldChar w:fldCharType="separate"/>
        </w:r>
        <w:r>
          <w:rPr>
            <w:rFonts w:hint="default"/>
            <w:sz w:val="24"/>
            <w:lang w:val="zh-CN"/>
          </w:rPr>
          <w:t>-</w:t>
        </w:r>
        <w:r>
          <w:rPr>
            <w:rFonts w:hint="default"/>
            <w:sz w:val="24"/>
          </w:rPr>
          <w:t xml:space="preserve"> 1 -</w:t>
        </w:r>
        <w:r>
          <w:rPr>
            <w:sz w:val="24"/>
          </w:rPr>
          <w:fldChar w:fldCharType="end"/>
        </w:r>
      </w:p>
    </w:sdtContent>
  </w:sdt>
  <w:p>
    <w:pPr>
      <w:pStyle w:val="3"/>
      <w:jc w:val="both"/>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56C25"/>
    <w:rsid w:val="000B30A8"/>
    <w:rsid w:val="000D7702"/>
    <w:rsid w:val="00121D30"/>
    <w:rsid w:val="0013686F"/>
    <w:rsid w:val="001B502F"/>
    <w:rsid w:val="002B0581"/>
    <w:rsid w:val="002B346C"/>
    <w:rsid w:val="002B4B5F"/>
    <w:rsid w:val="002D061D"/>
    <w:rsid w:val="002D605D"/>
    <w:rsid w:val="002E2DC4"/>
    <w:rsid w:val="002E5443"/>
    <w:rsid w:val="00306369"/>
    <w:rsid w:val="00311047"/>
    <w:rsid w:val="0031488B"/>
    <w:rsid w:val="003428AF"/>
    <w:rsid w:val="003836F8"/>
    <w:rsid w:val="003A7F9E"/>
    <w:rsid w:val="003B0FBF"/>
    <w:rsid w:val="003B3691"/>
    <w:rsid w:val="003D5BB1"/>
    <w:rsid w:val="00466752"/>
    <w:rsid w:val="004854EB"/>
    <w:rsid w:val="00486DB3"/>
    <w:rsid w:val="004A6E01"/>
    <w:rsid w:val="004C12FF"/>
    <w:rsid w:val="004C460B"/>
    <w:rsid w:val="00541340"/>
    <w:rsid w:val="00542F7B"/>
    <w:rsid w:val="005455F3"/>
    <w:rsid w:val="00550ABE"/>
    <w:rsid w:val="005A4136"/>
    <w:rsid w:val="005A7355"/>
    <w:rsid w:val="005B023C"/>
    <w:rsid w:val="006137D7"/>
    <w:rsid w:val="00634FA8"/>
    <w:rsid w:val="0063613A"/>
    <w:rsid w:val="00637B29"/>
    <w:rsid w:val="00692129"/>
    <w:rsid w:val="006B7D85"/>
    <w:rsid w:val="006C05FC"/>
    <w:rsid w:val="006F67AA"/>
    <w:rsid w:val="007015C9"/>
    <w:rsid w:val="00792285"/>
    <w:rsid w:val="007A0D2E"/>
    <w:rsid w:val="007A3314"/>
    <w:rsid w:val="007B419D"/>
    <w:rsid w:val="00810986"/>
    <w:rsid w:val="00810F13"/>
    <w:rsid w:val="00863592"/>
    <w:rsid w:val="00944711"/>
    <w:rsid w:val="0097640C"/>
    <w:rsid w:val="00984852"/>
    <w:rsid w:val="009B67B8"/>
    <w:rsid w:val="00A03B1E"/>
    <w:rsid w:val="00A55CDA"/>
    <w:rsid w:val="00A67739"/>
    <w:rsid w:val="00A726A7"/>
    <w:rsid w:val="00A820B7"/>
    <w:rsid w:val="00A86F12"/>
    <w:rsid w:val="00AA1A45"/>
    <w:rsid w:val="00AC5566"/>
    <w:rsid w:val="00B03CCD"/>
    <w:rsid w:val="00B22E15"/>
    <w:rsid w:val="00B40D9A"/>
    <w:rsid w:val="00B41CF7"/>
    <w:rsid w:val="00BF2DB8"/>
    <w:rsid w:val="00BF5A85"/>
    <w:rsid w:val="00C6526A"/>
    <w:rsid w:val="00C96B11"/>
    <w:rsid w:val="00CA3426"/>
    <w:rsid w:val="00CC6B99"/>
    <w:rsid w:val="00D21062"/>
    <w:rsid w:val="00D37DBE"/>
    <w:rsid w:val="00D612E6"/>
    <w:rsid w:val="00D92A86"/>
    <w:rsid w:val="00DF5E14"/>
    <w:rsid w:val="00DF7706"/>
    <w:rsid w:val="00E43334"/>
    <w:rsid w:val="00E62FA8"/>
    <w:rsid w:val="00E654E2"/>
    <w:rsid w:val="00E76362"/>
    <w:rsid w:val="00E853C3"/>
    <w:rsid w:val="00EE1AD8"/>
    <w:rsid w:val="00F110A5"/>
    <w:rsid w:val="00F137D3"/>
    <w:rsid w:val="00F13C36"/>
    <w:rsid w:val="00F32C53"/>
    <w:rsid w:val="00F458A1"/>
    <w:rsid w:val="00F702F9"/>
    <w:rsid w:val="00F73F90"/>
    <w:rsid w:val="00F7623D"/>
    <w:rsid w:val="00FB3599"/>
    <w:rsid w:val="01474EBF"/>
    <w:rsid w:val="01944054"/>
    <w:rsid w:val="01F3521E"/>
    <w:rsid w:val="02B7624C"/>
    <w:rsid w:val="03200295"/>
    <w:rsid w:val="03B87EA0"/>
    <w:rsid w:val="03C230FA"/>
    <w:rsid w:val="03E3214F"/>
    <w:rsid w:val="044C50BA"/>
    <w:rsid w:val="04B36EE7"/>
    <w:rsid w:val="05BC6D49"/>
    <w:rsid w:val="06194FF1"/>
    <w:rsid w:val="06475B39"/>
    <w:rsid w:val="0687687D"/>
    <w:rsid w:val="068C5C42"/>
    <w:rsid w:val="06A2550B"/>
    <w:rsid w:val="06CE1DB6"/>
    <w:rsid w:val="06F80EE2"/>
    <w:rsid w:val="07001CCA"/>
    <w:rsid w:val="07155C37"/>
    <w:rsid w:val="075678DB"/>
    <w:rsid w:val="079D7CC7"/>
    <w:rsid w:val="08051BCA"/>
    <w:rsid w:val="086C12F4"/>
    <w:rsid w:val="08BA052C"/>
    <w:rsid w:val="08DB07BA"/>
    <w:rsid w:val="0969353F"/>
    <w:rsid w:val="098305D0"/>
    <w:rsid w:val="098A0877"/>
    <w:rsid w:val="0A2E773B"/>
    <w:rsid w:val="0A5C4B69"/>
    <w:rsid w:val="0A86124A"/>
    <w:rsid w:val="0AB54CC0"/>
    <w:rsid w:val="0B512FB6"/>
    <w:rsid w:val="0B9335CE"/>
    <w:rsid w:val="0BBA4FFF"/>
    <w:rsid w:val="0C0A7D34"/>
    <w:rsid w:val="0C126BE9"/>
    <w:rsid w:val="0C7927C4"/>
    <w:rsid w:val="0C9B098C"/>
    <w:rsid w:val="0CC71781"/>
    <w:rsid w:val="0D673E11"/>
    <w:rsid w:val="0DDA54E4"/>
    <w:rsid w:val="0E1E3623"/>
    <w:rsid w:val="0E3A5F83"/>
    <w:rsid w:val="0E74421A"/>
    <w:rsid w:val="0E9D4E90"/>
    <w:rsid w:val="0F256C33"/>
    <w:rsid w:val="0F836721"/>
    <w:rsid w:val="0F9718DF"/>
    <w:rsid w:val="0FA25D96"/>
    <w:rsid w:val="107B59E5"/>
    <w:rsid w:val="10EC0126"/>
    <w:rsid w:val="10F70B9A"/>
    <w:rsid w:val="10FE598E"/>
    <w:rsid w:val="111445C7"/>
    <w:rsid w:val="114278C6"/>
    <w:rsid w:val="1158083A"/>
    <w:rsid w:val="11643A4B"/>
    <w:rsid w:val="11ED0F98"/>
    <w:rsid w:val="11F03528"/>
    <w:rsid w:val="12C921C4"/>
    <w:rsid w:val="13871C70"/>
    <w:rsid w:val="13A71CB4"/>
    <w:rsid w:val="13AA7707"/>
    <w:rsid w:val="13AF1D43"/>
    <w:rsid w:val="13C0517C"/>
    <w:rsid w:val="13CE1647"/>
    <w:rsid w:val="13D84274"/>
    <w:rsid w:val="13FD1F2D"/>
    <w:rsid w:val="13FD55AB"/>
    <w:rsid w:val="14200702"/>
    <w:rsid w:val="15537E05"/>
    <w:rsid w:val="15A07014"/>
    <w:rsid w:val="163A6CEE"/>
    <w:rsid w:val="173708E3"/>
    <w:rsid w:val="17C374FC"/>
    <w:rsid w:val="17CC40F0"/>
    <w:rsid w:val="189079DC"/>
    <w:rsid w:val="189B0D0B"/>
    <w:rsid w:val="18B43F7C"/>
    <w:rsid w:val="194A1770"/>
    <w:rsid w:val="19B25567"/>
    <w:rsid w:val="19B906A4"/>
    <w:rsid w:val="1A2B77F4"/>
    <w:rsid w:val="1A907657"/>
    <w:rsid w:val="1B4072CF"/>
    <w:rsid w:val="1B6F15B6"/>
    <w:rsid w:val="1BAA2EDC"/>
    <w:rsid w:val="1C316C17"/>
    <w:rsid w:val="1C5C0973"/>
    <w:rsid w:val="1CA55E64"/>
    <w:rsid w:val="1D014A01"/>
    <w:rsid w:val="1D022362"/>
    <w:rsid w:val="1D13456F"/>
    <w:rsid w:val="1D1B04B0"/>
    <w:rsid w:val="1DBD6767"/>
    <w:rsid w:val="1DC52125"/>
    <w:rsid w:val="1DD26311"/>
    <w:rsid w:val="1E374ACB"/>
    <w:rsid w:val="1E5E27E3"/>
    <w:rsid w:val="1EC57AEB"/>
    <w:rsid w:val="1ECF0A66"/>
    <w:rsid w:val="1EF67CA4"/>
    <w:rsid w:val="1F020D3A"/>
    <w:rsid w:val="1F2C5189"/>
    <w:rsid w:val="1F4B0B02"/>
    <w:rsid w:val="1FAB4F33"/>
    <w:rsid w:val="1FBB35CD"/>
    <w:rsid w:val="1FCD26AF"/>
    <w:rsid w:val="20347613"/>
    <w:rsid w:val="203942EC"/>
    <w:rsid w:val="20642787"/>
    <w:rsid w:val="21556F04"/>
    <w:rsid w:val="21E60D49"/>
    <w:rsid w:val="222B4109"/>
    <w:rsid w:val="22403BD3"/>
    <w:rsid w:val="235D6544"/>
    <w:rsid w:val="23DA37D9"/>
    <w:rsid w:val="24B92327"/>
    <w:rsid w:val="24C14514"/>
    <w:rsid w:val="2533755C"/>
    <w:rsid w:val="25791755"/>
    <w:rsid w:val="26396DF4"/>
    <w:rsid w:val="27167136"/>
    <w:rsid w:val="276460F3"/>
    <w:rsid w:val="27B23302"/>
    <w:rsid w:val="28F65471"/>
    <w:rsid w:val="29310A5F"/>
    <w:rsid w:val="29895DCD"/>
    <w:rsid w:val="29C37A35"/>
    <w:rsid w:val="2A076083"/>
    <w:rsid w:val="2A306760"/>
    <w:rsid w:val="2A73162E"/>
    <w:rsid w:val="2B08148B"/>
    <w:rsid w:val="2B167953"/>
    <w:rsid w:val="2B200583"/>
    <w:rsid w:val="2B8209DE"/>
    <w:rsid w:val="2C22032B"/>
    <w:rsid w:val="2C6762A3"/>
    <w:rsid w:val="2D7921CC"/>
    <w:rsid w:val="2E262354"/>
    <w:rsid w:val="2EBF7B3E"/>
    <w:rsid w:val="2EDE1934"/>
    <w:rsid w:val="2FCA4B37"/>
    <w:rsid w:val="2FE029D7"/>
    <w:rsid w:val="2FF06E00"/>
    <w:rsid w:val="30562E26"/>
    <w:rsid w:val="30586FEC"/>
    <w:rsid w:val="306058C5"/>
    <w:rsid w:val="30662EDC"/>
    <w:rsid w:val="30EC7046"/>
    <w:rsid w:val="315F0B22"/>
    <w:rsid w:val="31821B16"/>
    <w:rsid w:val="319D022C"/>
    <w:rsid w:val="31C90022"/>
    <w:rsid w:val="31D84415"/>
    <w:rsid w:val="32285F6F"/>
    <w:rsid w:val="32770556"/>
    <w:rsid w:val="329C0913"/>
    <w:rsid w:val="32AA0460"/>
    <w:rsid w:val="331A420C"/>
    <w:rsid w:val="3337290D"/>
    <w:rsid w:val="33E31118"/>
    <w:rsid w:val="33EF7674"/>
    <w:rsid w:val="341E3ACD"/>
    <w:rsid w:val="34207846"/>
    <w:rsid w:val="342D7BC6"/>
    <w:rsid w:val="352930DB"/>
    <w:rsid w:val="35573069"/>
    <w:rsid w:val="355F6038"/>
    <w:rsid w:val="358C217E"/>
    <w:rsid w:val="35937598"/>
    <w:rsid w:val="36617CA1"/>
    <w:rsid w:val="36C9128A"/>
    <w:rsid w:val="372E3953"/>
    <w:rsid w:val="376E5A1F"/>
    <w:rsid w:val="37841E99"/>
    <w:rsid w:val="37BF1123"/>
    <w:rsid w:val="383C3F15"/>
    <w:rsid w:val="385775AE"/>
    <w:rsid w:val="38BE4696"/>
    <w:rsid w:val="38FA68B7"/>
    <w:rsid w:val="3939115E"/>
    <w:rsid w:val="39B82A39"/>
    <w:rsid w:val="39C42CA8"/>
    <w:rsid w:val="39DC4FD6"/>
    <w:rsid w:val="39F03D7A"/>
    <w:rsid w:val="39F33306"/>
    <w:rsid w:val="3A2C1C67"/>
    <w:rsid w:val="3A7F2E86"/>
    <w:rsid w:val="3AB94550"/>
    <w:rsid w:val="3B0C28D2"/>
    <w:rsid w:val="3B1705E5"/>
    <w:rsid w:val="3B18334B"/>
    <w:rsid w:val="3B36794F"/>
    <w:rsid w:val="3C566AD6"/>
    <w:rsid w:val="3C6A5B02"/>
    <w:rsid w:val="3C7A1ABD"/>
    <w:rsid w:val="3D2757A1"/>
    <w:rsid w:val="3D3D4FC4"/>
    <w:rsid w:val="3D7B3D3F"/>
    <w:rsid w:val="3DDF3AB1"/>
    <w:rsid w:val="3DFD24EF"/>
    <w:rsid w:val="3E1D0952"/>
    <w:rsid w:val="3E42660A"/>
    <w:rsid w:val="3E7555B1"/>
    <w:rsid w:val="3E787ED9"/>
    <w:rsid w:val="3EEC37F3"/>
    <w:rsid w:val="3F032E93"/>
    <w:rsid w:val="3F0527E5"/>
    <w:rsid w:val="3F5E56C6"/>
    <w:rsid w:val="3F694D83"/>
    <w:rsid w:val="3F885DCC"/>
    <w:rsid w:val="3FCD675E"/>
    <w:rsid w:val="3FF04570"/>
    <w:rsid w:val="4004000C"/>
    <w:rsid w:val="411B6CE5"/>
    <w:rsid w:val="412070D7"/>
    <w:rsid w:val="41314E40"/>
    <w:rsid w:val="41C37A62"/>
    <w:rsid w:val="41E0734B"/>
    <w:rsid w:val="42440BA3"/>
    <w:rsid w:val="426554D0"/>
    <w:rsid w:val="426C1EA8"/>
    <w:rsid w:val="42736402"/>
    <w:rsid w:val="42771BAB"/>
    <w:rsid w:val="428C42F8"/>
    <w:rsid w:val="42E86A87"/>
    <w:rsid w:val="43307B09"/>
    <w:rsid w:val="438D0E97"/>
    <w:rsid w:val="43BB152F"/>
    <w:rsid w:val="44A1052F"/>
    <w:rsid w:val="44B2430B"/>
    <w:rsid w:val="44C37687"/>
    <w:rsid w:val="45CB699A"/>
    <w:rsid w:val="465B470D"/>
    <w:rsid w:val="469A3487"/>
    <w:rsid w:val="469D6AD4"/>
    <w:rsid w:val="46A77C72"/>
    <w:rsid w:val="471E6C84"/>
    <w:rsid w:val="4748792B"/>
    <w:rsid w:val="47490A0A"/>
    <w:rsid w:val="475D719D"/>
    <w:rsid w:val="47674801"/>
    <w:rsid w:val="47A67C0A"/>
    <w:rsid w:val="48225EF7"/>
    <w:rsid w:val="488F422B"/>
    <w:rsid w:val="48CE799F"/>
    <w:rsid w:val="48E36915"/>
    <w:rsid w:val="495C4A24"/>
    <w:rsid w:val="49647D7D"/>
    <w:rsid w:val="497135DF"/>
    <w:rsid w:val="497955D6"/>
    <w:rsid w:val="49E8275C"/>
    <w:rsid w:val="4A263DF2"/>
    <w:rsid w:val="4A4B7BE8"/>
    <w:rsid w:val="4A6F6675"/>
    <w:rsid w:val="4B135857"/>
    <w:rsid w:val="4B182BCD"/>
    <w:rsid w:val="4B505AFE"/>
    <w:rsid w:val="4B7951CB"/>
    <w:rsid w:val="4B7C315C"/>
    <w:rsid w:val="4CC76658"/>
    <w:rsid w:val="4CEE0089"/>
    <w:rsid w:val="4D2E66D8"/>
    <w:rsid w:val="4D5E7F3F"/>
    <w:rsid w:val="4DAC4ACA"/>
    <w:rsid w:val="4DBE01D2"/>
    <w:rsid w:val="4E23222F"/>
    <w:rsid w:val="4E281379"/>
    <w:rsid w:val="4EFC6D10"/>
    <w:rsid w:val="4F0C6BA3"/>
    <w:rsid w:val="4F10477D"/>
    <w:rsid w:val="4F186D58"/>
    <w:rsid w:val="4F3855EC"/>
    <w:rsid w:val="4FA15887"/>
    <w:rsid w:val="4FEA65B7"/>
    <w:rsid w:val="50F06B6E"/>
    <w:rsid w:val="517A013D"/>
    <w:rsid w:val="52234D33"/>
    <w:rsid w:val="522F6E0C"/>
    <w:rsid w:val="52350508"/>
    <w:rsid w:val="52463BA1"/>
    <w:rsid w:val="529A65BD"/>
    <w:rsid w:val="52F163D4"/>
    <w:rsid w:val="531A2DB4"/>
    <w:rsid w:val="538928BA"/>
    <w:rsid w:val="539F032F"/>
    <w:rsid w:val="53C0244D"/>
    <w:rsid w:val="53DD4D4E"/>
    <w:rsid w:val="53E578CE"/>
    <w:rsid w:val="541330F0"/>
    <w:rsid w:val="54272666"/>
    <w:rsid w:val="543B029D"/>
    <w:rsid w:val="547A48F8"/>
    <w:rsid w:val="54861779"/>
    <w:rsid w:val="552256E1"/>
    <w:rsid w:val="554E5773"/>
    <w:rsid w:val="555A3CBC"/>
    <w:rsid w:val="5582012B"/>
    <w:rsid w:val="558E4E05"/>
    <w:rsid w:val="55BE2E85"/>
    <w:rsid w:val="56530F5D"/>
    <w:rsid w:val="567700D3"/>
    <w:rsid w:val="56D55E16"/>
    <w:rsid w:val="56FF7E9E"/>
    <w:rsid w:val="5728063B"/>
    <w:rsid w:val="578867FC"/>
    <w:rsid w:val="5842572D"/>
    <w:rsid w:val="589D2963"/>
    <w:rsid w:val="59967ADE"/>
    <w:rsid w:val="59E20F76"/>
    <w:rsid w:val="5A3B59D6"/>
    <w:rsid w:val="5AD134D8"/>
    <w:rsid w:val="5B1E422F"/>
    <w:rsid w:val="5B6503B1"/>
    <w:rsid w:val="5C263CE4"/>
    <w:rsid w:val="5C5D2777"/>
    <w:rsid w:val="5CF66BF3"/>
    <w:rsid w:val="5D290C69"/>
    <w:rsid w:val="5D706898"/>
    <w:rsid w:val="5DBE7604"/>
    <w:rsid w:val="5E005E6E"/>
    <w:rsid w:val="5F2D4A41"/>
    <w:rsid w:val="6017124D"/>
    <w:rsid w:val="601D2D07"/>
    <w:rsid w:val="60C74F6C"/>
    <w:rsid w:val="61025A59"/>
    <w:rsid w:val="613D5BBC"/>
    <w:rsid w:val="61536C39"/>
    <w:rsid w:val="62157A0E"/>
    <w:rsid w:val="62944DD7"/>
    <w:rsid w:val="6319381F"/>
    <w:rsid w:val="63236436"/>
    <w:rsid w:val="634E142A"/>
    <w:rsid w:val="63C25DC5"/>
    <w:rsid w:val="63C62057"/>
    <w:rsid w:val="63D23E09"/>
    <w:rsid w:val="64571EF5"/>
    <w:rsid w:val="645E744B"/>
    <w:rsid w:val="64FB113D"/>
    <w:rsid w:val="656152C6"/>
    <w:rsid w:val="6587477F"/>
    <w:rsid w:val="658C3A08"/>
    <w:rsid w:val="65C031CA"/>
    <w:rsid w:val="65CE6852"/>
    <w:rsid w:val="66240220"/>
    <w:rsid w:val="66267C04"/>
    <w:rsid w:val="663F505A"/>
    <w:rsid w:val="66967186"/>
    <w:rsid w:val="66EE5541"/>
    <w:rsid w:val="67924660"/>
    <w:rsid w:val="680B1697"/>
    <w:rsid w:val="68407834"/>
    <w:rsid w:val="6883293E"/>
    <w:rsid w:val="688412AD"/>
    <w:rsid w:val="6894168D"/>
    <w:rsid w:val="68D4417F"/>
    <w:rsid w:val="68EB1B71"/>
    <w:rsid w:val="68FE11FC"/>
    <w:rsid w:val="69230C63"/>
    <w:rsid w:val="69475C96"/>
    <w:rsid w:val="6A097E59"/>
    <w:rsid w:val="6AAD2300"/>
    <w:rsid w:val="6B474EF5"/>
    <w:rsid w:val="6BBF53FD"/>
    <w:rsid w:val="6C560CAE"/>
    <w:rsid w:val="6C576495"/>
    <w:rsid w:val="6D1014FE"/>
    <w:rsid w:val="6D903FF5"/>
    <w:rsid w:val="6DA93E2C"/>
    <w:rsid w:val="6DA955B8"/>
    <w:rsid w:val="6DE346AB"/>
    <w:rsid w:val="6DE5391A"/>
    <w:rsid w:val="6E7A7577"/>
    <w:rsid w:val="6EFD1324"/>
    <w:rsid w:val="6F311A50"/>
    <w:rsid w:val="6F5A53AC"/>
    <w:rsid w:val="6FAC003D"/>
    <w:rsid w:val="6FE55E12"/>
    <w:rsid w:val="6FFB2E76"/>
    <w:rsid w:val="70384FF4"/>
    <w:rsid w:val="707F0E75"/>
    <w:rsid w:val="708F6F7F"/>
    <w:rsid w:val="70AD3C34"/>
    <w:rsid w:val="70D94BD3"/>
    <w:rsid w:val="71C34D91"/>
    <w:rsid w:val="72121874"/>
    <w:rsid w:val="72C62D8B"/>
    <w:rsid w:val="72DB435C"/>
    <w:rsid w:val="72E2613A"/>
    <w:rsid w:val="72F771F4"/>
    <w:rsid w:val="736650B0"/>
    <w:rsid w:val="73934AD2"/>
    <w:rsid w:val="74982505"/>
    <w:rsid w:val="750837F0"/>
    <w:rsid w:val="75433EEE"/>
    <w:rsid w:val="754758CF"/>
    <w:rsid w:val="764F62AB"/>
    <w:rsid w:val="765C45EC"/>
    <w:rsid w:val="768A7619"/>
    <w:rsid w:val="772E1EBA"/>
    <w:rsid w:val="77E912C9"/>
    <w:rsid w:val="77EB79F7"/>
    <w:rsid w:val="78992CEF"/>
    <w:rsid w:val="796D60A4"/>
    <w:rsid w:val="79A031D5"/>
    <w:rsid w:val="7A1525F7"/>
    <w:rsid w:val="7B420052"/>
    <w:rsid w:val="7B861484"/>
    <w:rsid w:val="7BD06A28"/>
    <w:rsid w:val="7C321491"/>
    <w:rsid w:val="7C3A7C0B"/>
    <w:rsid w:val="7C5248E4"/>
    <w:rsid w:val="7C566698"/>
    <w:rsid w:val="7C5866A3"/>
    <w:rsid w:val="7D4E22FA"/>
    <w:rsid w:val="7D7406BB"/>
    <w:rsid w:val="7DE94331"/>
    <w:rsid w:val="7DF74740"/>
    <w:rsid w:val="7E1F3C97"/>
    <w:rsid w:val="7E301A00"/>
    <w:rsid w:val="7E590F57"/>
    <w:rsid w:val="7F446A19"/>
    <w:rsid w:val="7F7452B9"/>
    <w:rsid w:val="7FE9630A"/>
    <w:rsid w:val="FDEF9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8"/>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page number"/>
    <w:basedOn w:val="9"/>
    <w:qFormat/>
    <w:uiPriority w:val="0"/>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9"/>
    <w:link w:val="2"/>
    <w:qFormat/>
    <w:uiPriority w:val="0"/>
    <w:rPr>
      <w:rFonts w:ascii="宋体" w:hAnsi="宋体"/>
      <w:sz w:val="18"/>
      <w:szCs w:val="18"/>
    </w:rPr>
  </w:style>
  <w:style w:type="paragraph" w:styleId="17">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8">
    <w:name w:val="页脚 字符"/>
    <w:basedOn w:val="9"/>
    <w:link w:val="3"/>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E11A9C19-422D-4223-B8BE-00D249354CE6}">
  <ds:schemaRefs/>
</ds:datastoreItem>
</file>

<file path=docProps/app.xml><?xml version="1.0" encoding="utf-8"?>
<Properties xmlns="http://schemas.openxmlformats.org/officeDocument/2006/extended-properties" xmlns:vt="http://schemas.openxmlformats.org/officeDocument/2006/docPropsVTypes">
  <Template>Normal</Template>
  <Pages>10</Pages>
  <Words>4631</Words>
  <Characters>5261</Characters>
  <Lines>38</Lines>
  <Paragraphs>10</Paragraphs>
  <TotalTime>26</TotalTime>
  <ScaleCrop>false</ScaleCrop>
  <LinksUpToDate>false</LinksUpToDate>
  <CharactersWithSpaces>5295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PC-1</cp:lastModifiedBy>
  <cp:lastPrinted>2025-09-29T16:39:00Z</cp:lastPrinted>
  <dcterms:modified xsi:type="dcterms:W3CDTF">2025-11-28T16:10:21Z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BB46EABDBB2749749395447164B066B3_12</vt:lpwstr>
  </property>
  <property fmtid="{D5CDD505-2E9C-101B-9397-08002B2CF9AE}" pid="4" name="KSOTemplateDocerSaveRecord">
    <vt:lpwstr>eyJoZGlkIjoiMzVjMmNiNzA3NmQ4MmZhYmMzNTg2OTFmM2UwMzA2ZGUiLCJ1c2VySWQiOiI2MjE5OTY4MDYifQ==</vt:lpwstr>
  </property>
</Properties>
</file>