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bCs/>
        </w:rPr>
      </w:pPr>
    </w:p>
    <w:p>
      <w:pPr>
        <w:spacing w:line="400" w:lineRule="exact"/>
        <w:rPr>
          <w:rFonts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4"/>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bKD40QAAAAMBAAAPAAAA&#10;AAAAAAEAIAAAADgAAABkcnMvZG93bnJldi54bWxQSwECFAAUAAAACACHTuJAk/V3rM0BAACOAwAA&#10;DgAAAAAAAAABACAAAAA2AQAAZHJzL2Uyb0RvYy54bWxQSwUGAAAAAAYABgBZAQAAdQUAAAAA&#10;">
                <v:fill on="f" focussize="0,0"/>
                <v:stroke weight="2pt" color="#000000" joinstyle="round"/>
                <v:imagedata o:title=""/>
                <o:lock v:ext="edit" aspectratio="f"/>
                <w10:wrap type="tight"/>
              </v:line>
            </w:pict>
          </mc:Fallback>
        </mc:AlternateContent>
      </w:r>
    </w:p>
    <w:p>
      <w:pPr>
        <w:spacing w:line="400" w:lineRule="exact"/>
        <w:rPr>
          <w:rFonts w:hint="eastAsia" w:ascii="方正小标宋_GBK" w:eastAsia="方正小标宋_GBK"/>
          <w:spacing w:val="-14"/>
          <w:w w:val="42"/>
        </w:rPr>
      </w:pPr>
    </w:p>
    <w:p>
      <w:pPr>
        <w:spacing w:line="400" w:lineRule="exact"/>
        <w:rPr>
          <w:rFonts w:ascii="方正小标宋_GBK" w:eastAsia="方正小标宋_GBK"/>
          <w:spacing w:val="-14"/>
          <w:w w:val="42"/>
        </w:rPr>
      </w:pPr>
    </w:p>
    <w:p>
      <w:pPr>
        <w:tabs>
          <w:tab w:val="left" w:pos="8690"/>
        </w:tabs>
        <w:spacing w:line="1600" w:lineRule="exact"/>
        <w:jc w:val="center"/>
        <w:rPr>
          <w:rFonts w:ascii="仿宋_GB2312"/>
          <w:b/>
          <w:bCs/>
          <w:color w:val="FF0000"/>
          <w:w w:val="45"/>
          <w:sz w:val="112"/>
          <w:szCs w:val="112"/>
        </w:rPr>
      </w:pPr>
      <w:r>
        <w:rPr>
          <w:rFonts w:hint="eastAsia" w:ascii="方正小标宋_GBK" w:eastAsia="方正小标宋_GBK"/>
          <w:b/>
          <w:bCs/>
          <w:color w:val="FF0000"/>
          <w:w w:val="45"/>
          <w:sz w:val="112"/>
          <w:szCs w:val="112"/>
        </w:rPr>
        <w:t>重庆市涪陵区人民政府荔枝街道办事处</w:t>
      </w:r>
    </w:p>
    <w:p>
      <w:pPr>
        <w:spacing w:line="480" w:lineRule="exact"/>
        <w:jc w:val="center"/>
        <w:rPr>
          <w:rFonts w:ascii="仿宋_GB2312"/>
        </w:rPr>
      </w:pPr>
    </w:p>
    <w:p>
      <w:pPr>
        <w:spacing w:line="460" w:lineRule="exact"/>
        <w:jc w:val="center"/>
        <w:rPr>
          <w:rFonts w:ascii="仿宋_GB2312"/>
        </w:rPr>
      </w:pPr>
    </w:p>
    <w:p>
      <w:pPr>
        <w:tabs>
          <w:tab w:val="left" w:pos="8398"/>
          <w:tab w:val="left" w:pos="8619"/>
        </w:tabs>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涪荔枝办发〔2020〕86号</w:t>
      </w:r>
    </w:p>
    <w:p>
      <w:pPr>
        <w:rPr>
          <w:rFonts w:hint="eastAsia"/>
        </w:rPr>
      </w:pPr>
    </w:p>
    <w:p>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 name="直线 25"/>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5" o:spid="_x0000_s1026" o:spt="20" style="position:absolute;left:0pt;margin-top:0pt;height:0pt;width:442.2pt;mso-position-horizontal:center;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NejB0QAAAAIB&#10;AAAPAAAAAAAAAAEAIAAAADgAAABkcnMvZG93bnJldi54bWxQSwECFAAUAAAACACHTuJA6QLnt9MB&#10;AACSAwAADgAAAAAAAAABACAAAAA2AQAAZHJzL2Uyb0RvYy54bWxQSwUGAAAAAAYABgBZAQAAewUA&#10;AAAA&#10;">
                <v:fill on="f" focussize="0,0"/>
                <v:stroke weight="2.25pt" color="#FF0000" joinstyle="round"/>
                <v:imagedata o:title=""/>
                <o:lock v:ext="edit" aspectratio="f"/>
                <w10:wrap type="square"/>
              </v:line>
            </w:pict>
          </mc:Fallback>
        </mc:AlternateContent>
      </w:r>
    </w:p>
    <w:p>
      <w:pPr>
        <w:spacing w:line="60" w:lineRule="exact"/>
        <w:rPr>
          <w:rFonts w:hint="eastAsia" w:ascii="方正仿宋_GBK" w:hAnsi="方正仿宋_GBK" w:eastAsia="方正仿宋_GBK" w:cs="方正仿宋_GBK"/>
          <w:b/>
          <w:bCs/>
          <w:sz w:val="32"/>
          <w:szCs w:val="32"/>
        </w:rPr>
      </w:pPr>
    </w:p>
    <w:p>
      <w:pPr>
        <w:spacing w:line="60" w:lineRule="exact"/>
        <w:rPr>
          <w:rFonts w:hint="eastAsia" w:ascii="方正仿宋_GBK" w:hAnsi="方正仿宋_GBK" w:eastAsia="方正仿宋_GBK" w:cs="方正仿宋_GBK"/>
          <w:b/>
          <w:bCs/>
          <w:sz w:val="32"/>
          <w:szCs w:val="32"/>
        </w:rPr>
      </w:pPr>
    </w:p>
    <w:p>
      <w:pPr>
        <w:spacing w:line="60" w:lineRule="exact"/>
        <w:rPr>
          <w:rFonts w:hint="eastAsia" w:ascii="方正仿宋_GBK" w:hAnsi="方正仿宋_GBK" w:eastAsia="方正仿宋_GBK" w:cs="方正仿宋_GBK"/>
          <w:b/>
          <w:bCs/>
          <w:sz w:val="32"/>
          <w:szCs w:val="32"/>
        </w:rPr>
      </w:pPr>
    </w:p>
    <w:p>
      <w:pPr>
        <w:spacing w:line="60" w:lineRule="exact"/>
        <w:rPr>
          <w:rFonts w:hint="eastAsia" w:ascii="方正仿宋_GBK" w:hAnsi="方正仿宋_GBK" w:eastAsia="方正仿宋_GBK" w:cs="方正仿宋_GBK"/>
          <w:b/>
          <w:bCs/>
          <w:sz w:val="32"/>
          <w:szCs w:val="32"/>
        </w:rPr>
      </w:pPr>
    </w:p>
    <w:p>
      <w:pPr>
        <w:spacing w:line="60" w:lineRule="exact"/>
        <w:rPr>
          <w:rFonts w:hint="eastAsia" w:ascii="方正仿宋_GBK" w:hAnsi="方正仿宋_GBK" w:eastAsia="方正仿宋_GBK" w:cs="方正仿宋_GBK"/>
          <w:b/>
          <w:bCs/>
          <w:sz w:val="32"/>
          <w:szCs w:val="32"/>
        </w:rPr>
      </w:pPr>
    </w:p>
    <w:p>
      <w:pPr>
        <w:spacing w:line="60" w:lineRule="exact"/>
        <w:rPr>
          <w:rFonts w:hint="eastAsia" w:ascii="方正仿宋_GBK" w:hAnsi="方正仿宋_GBK" w:eastAsia="方正仿宋_GBK" w:cs="方正仿宋_GBK"/>
          <w:b/>
          <w:bCs/>
          <w:sz w:val="32"/>
          <w:szCs w:val="32"/>
        </w:rPr>
      </w:pPr>
    </w:p>
    <w:p>
      <w:pPr>
        <w:spacing w:line="60" w:lineRule="exact"/>
        <w:rPr>
          <w:rFonts w:hint="eastAsia" w:ascii="方正仿宋_GBK" w:hAnsi="方正仿宋_GBK" w:eastAsia="方正仿宋_GBK" w:cs="方正仿宋_GBK"/>
          <w:b/>
          <w:bCs/>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hAnsi="方正小标宋_GBK" w:eastAsia="方正小标宋_GBK" w:cs="方正小标宋_GBK"/>
          <w:b/>
          <w:spacing w:val="11"/>
          <w:sz w:val="44"/>
          <w:szCs w:val="44"/>
        </w:rPr>
        <w:t>重庆市涪陵区人民政府荔枝街道办事处</w:t>
      </w:r>
      <w:r>
        <w:rPr>
          <w:rFonts w:hint="eastAsia" w:ascii="方正仿宋_GBK" w:eastAsia="方正仿宋_GBK"/>
          <w:sz w:val="33"/>
          <w:szCs w:val="32"/>
        </w:rPr>
        <w:t xml:space="preserve">                    </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pacing w:val="11"/>
          <w:sz w:val="44"/>
          <w:szCs w:val="44"/>
        </w:rPr>
      </w:pPr>
      <w:r>
        <w:rPr>
          <w:rFonts w:hint="eastAsia" w:ascii="方正小标宋_GBK" w:hAnsi="方正小标宋_GBK" w:eastAsia="方正小标宋_GBK" w:cs="方正小标宋_GBK"/>
          <w:b/>
          <w:spacing w:val="11"/>
          <w:sz w:val="44"/>
          <w:szCs w:val="44"/>
        </w:rPr>
        <w:t>关于印发《荔枝街道发展壮大村级</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pacing w:val="11"/>
          <w:sz w:val="44"/>
          <w:szCs w:val="44"/>
        </w:rPr>
      </w:pPr>
      <w:r>
        <w:rPr>
          <w:rFonts w:hint="eastAsia" w:ascii="方正小标宋_GBK" w:hAnsi="方正小标宋_GBK" w:eastAsia="方正小标宋_GBK" w:cs="方正小标宋_GBK"/>
          <w:b/>
          <w:spacing w:val="11"/>
          <w:sz w:val="44"/>
          <w:szCs w:val="44"/>
        </w:rPr>
        <w:t>集体经济实施方案》的通知</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pacing w:val="11"/>
          <w:sz w:val="44"/>
          <w:szCs w:val="44"/>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eastAsia="方正仿宋_GBK"/>
          <w:sz w:val="32"/>
          <w:szCs w:val="32"/>
        </w:rPr>
      </w:pPr>
      <w:r>
        <w:rPr>
          <w:rFonts w:hint="eastAsia" w:ascii="方正仿宋_GBK" w:eastAsia="方正仿宋_GBK"/>
          <w:sz w:val="32"/>
          <w:szCs w:val="32"/>
        </w:rPr>
        <w:t>各村（社区），机关各部门：</w:t>
      </w:r>
    </w:p>
    <w:p>
      <w:pPr>
        <w:keepNext w:val="0"/>
        <w:keepLines w:val="0"/>
        <w:pageBreakBefore w:val="0"/>
        <w:kinsoku/>
        <w:overflowPunct/>
        <w:topLinePunct w:val="0"/>
        <w:autoSpaceDE/>
        <w:autoSpaceDN/>
        <w:bidi w:val="0"/>
        <w:adjustRightInd/>
        <w:snapToGrid/>
        <w:spacing w:line="560" w:lineRule="exact"/>
        <w:ind w:firstLine="960" w:firstLineChars="300"/>
        <w:textAlignment w:val="auto"/>
        <w:rPr>
          <w:rFonts w:hint="eastAsia" w:ascii="方正仿宋_GBK" w:eastAsia="方正仿宋_GBK"/>
          <w:sz w:val="32"/>
          <w:szCs w:val="32"/>
        </w:rPr>
      </w:pPr>
      <w:r>
        <w:rPr>
          <w:rFonts w:hint="eastAsia" w:ascii="方正仿宋_GBK" w:eastAsia="方正仿宋_GBK"/>
          <w:sz w:val="32"/>
          <w:szCs w:val="32"/>
        </w:rPr>
        <w:t>经街道研究决定将《荔枝街道发展壮大村级集体经济实施方案》印发你们，请结合实际认真贯彻落实。</w:t>
      </w:r>
    </w:p>
    <w:p>
      <w:pPr>
        <w:keepNext w:val="0"/>
        <w:keepLines w:val="0"/>
        <w:pageBreakBefore w:val="0"/>
        <w:kinsoku/>
        <w:overflowPunct/>
        <w:topLinePunct w:val="0"/>
        <w:autoSpaceDE/>
        <w:autoSpaceDN/>
        <w:bidi w:val="0"/>
        <w:adjustRightInd/>
        <w:snapToGrid/>
        <w:spacing w:line="560" w:lineRule="exact"/>
        <w:ind w:firstLine="960" w:firstLineChars="300"/>
        <w:textAlignment w:val="auto"/>
        <w:rPr>
          <w:rFonts w:hint="eastAsia" w:ascii="方正仿宋_GBK" w:eastAsia="方正仿宋_GBK"/>
          <w:sz w:val="32"/>
          <w:szCs w:val="32"/>
        </w:rPr>
      </w:pPr>
      <w:r>
        <w:rPr>
          <w:rFonts w:hint="eastAsia" w:ascii="方正仿宋_GBK" w:eastAsia="方正仿宋_GBK"/>
          <w:sz w:val="32"/>
          <w:szCs w:val="32"/>
        </w:rPr>
        <w:t>特此通知。</w:t>
      </w:r>
    </w:p>
    <w:p>
      <w:pPr>
        <w:keepNext w:val="0"/>
        <w:keepLines w:val="0"/>
        <w:pageBreakBefore w:val="0"/>
        <w:kinsoku/>
        <w:overflowPunct/>
        <w:topLinePunct w:val="0"/>
        <w:autoSpaceDE/>
        <w:autoSpaceDN/>
        <w:bidi w:val="0"/>
        <w:adjustRightInd/>
        <w:snapToGrid/>
        <w:spacing w:line="560" w:lineRule="exact"/>
        <w:ind w:firstLine="630"/>
        <w:textAlignment w:val="auto"/>
        <w:rPr>
          <w:rFonts w:hint="eastAsia" w:ascii="方正仿宋_GBK" w:eastAsia="方正仿宋_GBK"/>
          <w:sz w:val="32"/>
          <w:szCs w:val="32"/>
        </w:rPr>
      </w:pPr>
    </w:p>
    <w:p>
      <w:pPr>
        <w:pStyle w:val="9"/>
        <w:keepNext w:val="0"/>
        <w:keepLines w:val="0"/>
        <w:pageBreakBefore w:val="0"/>
        <w:kinsoku/>
        <w:overflowPunct/>
        <w:topLinePunct w:val="0"/>
        <w:autoSpaceDE/>
        <w:autoSpaceDN/>
        <w:bidi w:val="0"/>
        <w:adjustRightInd/>
        <w:snapToGrid/>
        <w:spacing w:before="0" w:beforeAutospacing="0" w:after="0" w:afterAutospacing="0" w:line="560" w:lineRule="exact"/>
        <w:ind w:firstLine="480"/>
        <w:jc w:val="righ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hAnsi="微软雅黑" w:eastAsia="方正仿宋_GBK"/>
          <w:sz w:val="32"/>
          <w:szCs w:val="32"/>
        </w:rPr>
        <w:t>重庆市涪陵区人民政府荔枝街道办事处</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jc w:val="right"/>
        <w:textAlignment w:val="auto"/>
        <w:rPr>
          <w:rFonts w:hint="eastAsia" w:ascii="方正仿宋_GBK" w:hAnsi="微软雅黑" w:eastAsia="方正仿宋_GBK"/>
          <w:sz w:val="32"/>
          <w:szCs w:val="32"/>
        </w:rPr>
      </w:pPr>
      <w:r>
        <w:rPr>
          <w:rFonts w:hint="eastAsia" w:ascii="方正仿宋_GBK" w:hAnsi="微软雅黑" w:eastAsia="方正仿宋_GBK"/>
          <w:sz w:val="32"/>
          <w:szCs w:val="32"/>
        </w:rPr>
        <w:t xml:space="preserve">2020年6月22日         </w:t>
      </w:r>
    </w:p>
    <w:p>
      <w:pPr>
        <w:keepNext w:val="0"/>
        <w:keepLines w:val="0"/>
        <w:pageBreakBefore w:val="0"/>
        <w:kinsoku/>
        <w:overflowPunct/>
        <w:topLinePunct w:val="0"/>
        <w:autoSpaceDE/>
        <w:autoSpaceDN/>
        <w:bidi w:val="0"/>
        <w:adjustRightInd/>
        <w:snapToGrid/>
        <w:spacing w:line="560" w:lineRule="exact"/>
        <w:ind w:firstLine="960" w:firstLineChars="3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（此件公开发布）</w:t>
      </w:r>
    </w:p>
    <w:p>
      <w:pPr>
        <w:spacing w:line="560" w:lineRule="exact"/>
        <w:jc w:val="center"/>
        <w:rPr>
          <w:rFonts w:eastAsia="方正仿宋_GBK"/>
          <w:sz w:val="32"/>
          <w:szCs w:val="32"/>
        </w:rPr>
      </w:pPr>
      <w:r>
        <w:rPr>
          <w:rFonts w:hint="eastAsia" w:ascii="方正小标宋_GBK" w:eastAsia="方正小标宋_GBK"/>
          <w:b/>
          <w:bCs/>
          <w:sz w:val="44"/>
          <w:szCs w:val="44"/>
        </w:rPr>
        <w:t>荔枝街道发展壮大村级集体经济实施方案</w:t>
      </w:r>
    </w:p>
    <w:p>
      <w:pPr>
        <w:spacing w:line="560" w:lineRule="exact"/>
        <w:ind w:firstLine="960" w:firstLineChars="300"/>
        <w:rPr>
          <w:rFonts w:eastAsia="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eastAsia="方正仿宋_GBK"/>
          <w:sz w:val="32"/>
          <w:szCs w:val="32"/>
        </w:rPr>
        <w:t>为进一步发展壮大</w:t>
      </w:r>
      <w:r>
        <w:rPr>
          <w:rFonts w:hint="eastAsia" w:eastAsia="方正仿宋_GBK"/>
          <w:sz w:val="32"/>
          <w:szCs w:val="32"/>
        </w:rPr>
        <w:t>村级</w:t>
      </w:r>
      <w:r>
        <w:rPr>
          <w:rFonts w:eastAsia="方正仿宋_GBK"/>
          <w:sz w:val="32"/>
          <w:szCs w:val="32"/>
        </w:rPr>
        <w:t>集体经济，</w:t>
      </w:r>
      <w:r>
        <w:rPr>
          <w:rFonts w:hint="eastAsia" w:eastAsia="方正仿宋_GBK"/>
          <w:sz w:val="32"/>
          <w:szCs w:val="32"/>
        </w:rPr>
        <w:t>推进</w:t>
      </w:r>
      <w:r>
        <w:rPr>
          <w:rFonts w:eastAsia="方正仿宋_GBK"/>
          <w:sz w:val="32"/>
          <w:szCs w:val="32"/>
        </w:rPr>
        <w:t>乡村振兴</w:t>
      </w:r>
      <w:r>
        <w:rPr>
          <w:rFonts w:hint="eastAsia" w:eastAsia="方正仿宋_GBK"/>
          <w:sz w:val="32"/>
          <w:szCs w:val="32"/>
        </w:rPr>
        <w:t>战略实施</w:t>
      </w:r>
      <w:r>
        <w:rPr>
          <w:rFonts w:eastAsia="方正仿宋_GBK"/>
          <w:sz w:val="32"/>
          <w:szCs w:val="32"/>
        </w:rPr>
        <w:t>，不断巩固党的</w:t>
      </w:r>
      <w:r>
        <w:rPr>
          <w:rFonts w:hint="eastAsia" w:eastAsia="方正仿宋_GBK"/>
          <w:sz w:val="32"/>
          <w:szCs w:val="32"/>
        </w:rPr>
        <w:t>基层</w:t>
      </w:r>
      <w:r>
        <w:rPr>
          <w:rFonts w:eastAsia="方正仿宋_GBK"/>
          <w:sz w:val="32"/>
          <w:szCs w:val="32"/>
        </w:rPr>
        <w:t>执政基础</w:t>
      </w:r>
      <w:r>
        <w:rPr>
          <w:rFonts w:hint="eastAsia" w:eastAsia="方正仿宋_GBK"/>
          <w:sz w:val="32"/>
          <w:szCs w:val="32"/>
        </w:rPr>
        <w:t>，按照市委组织部、市农业农村委《关于发展壮大村级集体经济的指导意见》（渝农发〔2019〕85号）有关要求，结合我街道实际情况，</w:t>
      </w:r>
      <w:r>
        <w:rPr>
          <w:rFonts w:eastAsia="方正仿宋_GBK"/>
          <w:sz w:val="32"/>
          <w:szCs w:val="32"/>
        </w:rPr>
        <w:t>特制定</w:t>
      </w:r>
      <w:r>
        <w:rPr>
          <w:rFonts w:hint="eastAsia" w:eastAsia="方正仿宋_GBK"/>
          <w:sz w:val="32"/>
          <w:szCs w:val="32"/>
        </w:rPr>
        <w:t>荔枝街道发展壮大村级</w:t>
      </w:r>
      <w:r>
        <w:rPr>
          <w:rFonts w:eastAsia="方正仿宋_GBK"/>
          <w:sz w:val="32"/>
          <w:szCs w:val="32"/>
        </w:rPr>
        <w:t>集体经济</w:t>
      </w:r>
      <w:r>
        <w:rPr>
          <w:rFonts w:hint="eastAsia" w:eastAsia="方正仿宋_GBK"/>
          <w:sz w:val="32"/>
          <w:szCs w:val="32"/>
        </w:rPr>
        <w:t>实施方案。</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黑体_GBK" w:eastAsia="方正黑体_GBK"/>
          <w:sz w:val="32"/>
          <w:szCs w:val="32"/>
        </w:rPr>
        <w:t>一、总体要求</w:t>
      </w:r>
    </w:p>
    <w:p>
      <w:pPr>
        <w:spacing w:line="560" w:lineRule="exact"/>
        <w:ind w:firstLine="630"/>
        <w:rPr>
          <w:rFonts w:hint="eastAsia" w:eastAsia="方正仿宋_GBK"/>
          <w:sz w:val="32"/>
          <w:szCs w:val="32"/>
        </w:rPr>
      </w:pPr>
      <w:r>
        <w:rPr>
          <w:rFonts w:hint="eastAsia" w:ascii="方正楷体_GBK" w:hAnsi="方正楷体_GBK" w:eastAsia="方正楷体_GBK" w:cs="方正楷体_GBK"/>
          <w:sz w:val="32"/>
          <w:szCs w:val="32"/>
        </w:rPr>
        <w:t>（一）指导思想。</w:t>
      </w:r>
      <w:r>
        <w:rPr>
          <w:rFonts w:hint="eastAsia" w:eastAsia="方正仿宋_GBK"/>
          <w:sz w:val="32"/>
          <w:szCs w:val="32"/>
        </w:rPr>
        <w:t>坚持以习近平新时代中国特色社会主义思想为指导，深入贯彻落实</w:t>
      </w:r>
      <w:r>
        <w:rPr>
          <w:rFonts w:hint="eastAsia" w:eastAsia="方正仿宋_GBK"/>
          <w:sz w:val="32"/>
          <w:szCs w:val="32"/>
          <w:lang w:eastAsia="zh-CN"/>
        </w:rPr>
        <w:t>党中央</w:t>
      </w:r>
      <w:r>
        <w:rPr>
          <w:rFonts w:hint="eastAsia" w:eastAsia="方正仿宋_GBK"/>
          <w:sz w:val="32"/>
          <w:szCs w:val="32"/>
        </w:rPr>
        <w:t>对重庆提出的“两点”定位，“两地”“两高”目标和“四个扎实”要求，</w:t>
      </w:r>
      <w:r>
        <w:rPr>
          <w:rFonts w:hint="eastAsia" w:ascii="方正仿宋_GBK" w:eastAsia="方正仿宋_GBK"/>
          <w:sz w:val="32"/>
          <w:szCs w:val="32"/>
        </w:rPr>
        <w:t>紧紧围绕实施乡村振兴战略，</w:t>
      </w:r>
      <w:r>
        <w:rPr>
          <w:rFonts w:hint="eastAsia" w:eastAsia="方正仿宋_GBK"/>
          <w:sz w:val="32"/>
          <w:szCs w:val="32"/>
        </w:rPr>
        <w:t>坚持党建引领发展，</w:t>
      </w:r>
      <w:r>
        <w:rPr>
          <w:rFonts w:hint="eastAsia" w:ascii="方正仿宋_GBK" w:eastAsia="方正仿宋_GBK"/>
          <w:sz w:val="32"/>
          <w:szCs w:val="32"/>
        </w:rPr>
        <w:t>以巩固农村基本经营制度为前提，以加强基层党组织建设为引领，以完善产权制度和要素市场化配置为重点，</w:t>
      </w:r>
      <w:r>
        <w:rPr>
          <w:rFonts w:hint="eastAsia" w:eastAsia="方正仿宋_GBK"/>
          <w:sz w:val="32"/>
          <w:szCs w:val="32"/>
        </w:rPr>
        <w:t>发展壮大村级集体经济，</w:t>
      </w:r>
      <w:r>
        <w:rPr>
          <w:rFonts w:eastAsia="方正仿宋_GBK"/>
          <w:sz w:val="32"/>
          <w:szCs w:val="32"/>
        </w:rPr>
        <w:t>努力提高</w:t>
      </w:r>
      <w:r>
        <w:rPr>
          <w:rFonts w:hint="eastAsia" w:eastAsia="方正仿宋_GBK"/>
          <w:sz w:val="32"/>
          <w:szCs w:val="32"/>
        </w:rPr>
        <w:t>村级</w:t>
      </w:r>
      <w:r>
        <w:rPr>
          <w:rFonts w:eastAsia="方正仿宋_GBK"/>
          <w:sz w:val="32"/>
          <w:szCs w:val="32"/>
        </w:rPr>
        <w:t>组织的服务能力，带动整个农村经济和各项事业全面发展</w:t>
      </w:r>
      <w:r>
        <w:rPr>
          <w:rFonts w:hint="eastAsia" w:eastAsia="方正仿宋_GBK"/>
          <w:sz w:val="32"/>
          <w:szCs w:val="32"/>
        </w:rPr>
        <w:t>，实现农民增收、农业增效、农村稳定，为乡村振兴、全面建成小康社会提供坚强保障。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（二）基本原则。</w:t>
      </w:r>
      <w:r>
        <w:rPr>
          <w:rFonts w:hint="eastAsia" w:ascii="方正仿宋_GBK" w:hAnsi="方正仿宋_GBK" w:eastAsia="方正仿宋_GBK" w:cs="方正仿宋_GBK"/>
          <w:sz w:val="32"/>
          <w:szCs w:val="32"/>
        </w:rPr>
        <w:t>坚持“党政主导、集体所有、农民主体、因地制宜、政策激励”的原则。</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（三）发展目标 。</w:t>
      </w:r>
      <w:r>
        <w:rPr>
          <w:rFonts w:hint="eastAsia" w:ascii="方正仿宋_GBK" w:eastAsia="方正仿宋_GBK"/>
          <w:sz w:val="32"/>
          <w:szCs w:val="32"/>
        </w:rPr>
        <w:t>方坪、金竺等村（居）集体经济组织年经营收入超过5万元，村级集体经济实力不断提高，扶持村级集体经济发展的政策体系不断完善，村级集体经济组织服务农民生产生活能力不断提升，村党组织凝聚力、号召力、战斗力不断增强。</w:t>
      </w:r>
    </w:p>
    <w:p>
      <w:pPr>
        <w:spacing w:line="560" w:lineRule="exact"/>
        <w:ind w:firstLine="642" w:firstLineChars="200"/>
        <w:rPr>
          <w:rFonts w:hint="eastAsia" w:ascii="黑体" w:eastAsia="黑体"/>
          <w:b/>
          <w:bCs/>
          <w:sz w:val="32"/>
          <w:szCs w:val="32"/>
        </w:rPr>
      </w:pPr>
      <w:r>
        <w:rPr>
          <w:rFonts w:hint="eastAsia" w:ascii="黑体" w:eastAsia="黑体"/>
          <w:b/>
          <w:bCs/>
          <w:sz w:val="32"/>
          <w:szCs w:val="32"/>
        </w:rPr>
        <w:t>二、</w:t>
      </w:r>
      <w:r>
        <w:rPr>
          <w:rFonts w:hint="eastAsia" w:ascii="方正黑体_GBK" w:eastAsia="方正黑体_GBK"/>
          <w:b/>
          <w:bCs/>
          <w:sz w:val="32"/>
          <w:szCs w:val="32"/>
        </w:rPr>
        <w:t>村级集体经济</w:t>
      </w:r>
      <w:r>
        <w:rPr>
          <w:rFonts w:hint="eastAsia" w:ascii="黑体" w:eastAsia="黑体"/>
          <w:b/>
          <w:bCs/>
          <w:sz w:val="32"/>
          <w:szCs w:val="32"/>
        </w:rPr>
        <w:t>发展路径</w:t>
      </w:r>
    </w:p>
    <w:p>
      <w:pPr>
        <w:spacing w:line="560" w:lineRule="exact"/>
        <w:ind w:firstLine="640" w:firstLineChars="200"/>
        <w:rPr>
          <w:rFonts w:hint="eastAsia" w:ascii="方正仿宋_GBK" w:eastAsia="方正仿宋_GBK"/>
          <w:sz w:val="32"/>
          <w:szCs w:val="32"/>
        </w:rPr>
      </w:pPr>
      <w:r>
        <w:rPr>
          <w:rFonts w:hint="eastAsia" w:eastAsia="方正仿宋_GBK"/>
          <w:sz w:val="32"/>
          <w:szCs w:val="32"/>
        </w:rPr>
        <w:t>以市场为导向，创新思路，科学发展，从村级经济基础、区位特点、资源条件、</w:t>
      </w:r>
      <w:r>
        <w:rPr>
          <w:rFonts w:hint="eastAsia" w:ascii="方正仿宋_GBK" w:eastAsia="方正仿宋_GBK"/>
          <w:sz w:val="32"/>
          <w:szCs w:val="32"/>
        </w:rPr>
        <w:t>产业布局</w:t>
      </w:r>
      <w:r>
        <w:rPr>
          <w:rFonts w:hint="eastAsia" w:eastAsia="方正仿宋_GBK"/>
          <w:sz w:val="32"/>
          <w:szCs w:val="32"/>
        </w:rPr>
        <w:t>等实际情况出发，因地制宜，探索多种发展模式和实现形式。</w:t>
      </w:r>
    </w:p>
    <w:p>
      <w:pPr>
        <w:pStyle w:val="9"/>
        <w:numPr>
          <w:ilvl w:val="0"/>
          <w:numId w:val="2"/>
        </w:numPr>
        <w:spacing w:beforeAutospacing="0" w:afterAutospacing="0" w:line="560" w:lineRule="exact"/>
        <w:ind w:firstLine="640" w:firstLineChars="200"/>
        <w:jc w:val="both"/>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kern w:val="2"/>
          <w:sz w:val="32"/>
          <w:szCs w:val="32"/>
        </w:rPr>
        <w:t>盘活集体资产。</w:t>
      </w:r>
      <w:r>
        <w:rPr>
          <w:rFonts w:hint="eastAsia" w:ascii="方正仿宋_GBK" w:hAnsi="方正楷体_GBK" w:eastAsia="方正仿宋_GBK" w:cs="方正楷体_GBK"/>
          <w:sz w:val="32"/>
          <w:szCs w:val="32"/>
        </w:rPr>
        <w:t>各级财政对村投入资金发展村级公益事业所形成的的公益性设施，纳入村集体资产范围。对村集体所有的闲置房屋、校舍、机械设备以及水利水电工程设施、公共服务设施设备、场（土）地等集体资产，通过发包、租赁、参股、联营、合资、合作等方式加以开发利用，增加集体收入</w:t>
      </w:r>
      <w:r>
        <w:rPr>
          <w:rFonts w:hint="eastAsia" w:ascii="方正仿宋_GBK" w:hAnsi="方正仿宋_GBK" w:eastAsia="方正仿宋_GBK" w:cs="方正仿宋_GBK"/>
          <w:sz w:val="32"/>
          <w:szCs w:val="32"/>
        </w:rPr>
        <w:t>。</w:t>
      </w:r>
      <w:r>
        <w:rPr>
          <w:rFonts w:hint="eastAsia" w:ascii="方正仿宋_GBK" w:eastAsia="方正仿宋_GBK"/>
          <w:sz w:val="32"/>
          <w:szCs w:val="32"/>
        </w:rPr>
        <w:t>鼓励村级集体经济组织与其他集体经济组织开展“飞地经济”合作，有效盘活集体富余建设用地，获得稳定的资产收益。金竺、方坪等二个重点扶贫村，要</w:t>
      </w:r>
      <w:r>
        <w:rPr>
          <w:rFonts w:hint="eastAsia" w:ascii="方正仿宋_GBK" w:hAnsi="方正楷体_GBK" w:eastAsia="方正仿宋_GBK" w:cs="方正楷体_GBK"/>
          <w:kern w:val="2"/>
          <w:sz w:val="32"/>
          <w:szCs w:val="32"/>
        </w:rPr>
        <w:t>利用脱贫攻坚集体经济发展项目资金，通过投资入股到企业、发展集体项目等多种形式，确保每年产生利益分红5%—10%。</w:t>
      </w:r>
      <w:r>
        <w:rPr>
          <w:rFonts w:hint="eastAsia" w:ascii="方正楷体_GBK" w:hAnsi="方正楷体_GBK" w:eastAsia="方正楷体_GBK" w:cs="方正楷体_GBK"/>
          <w:color w:val="000000"/>
          <w:sz w:val="32"/>
          <w:szCs w:val="32"/>
        </w:rPr>
        <w:t xml:space="preserve"> </w:t>
      </w:r>
    </w:p>
    <w:p>
      <w:pPr>
        <w:pStyle w:val="9"/>
        <w:spacing w:beforeAutospacing="0" w:afterAutospacing="0" w:line="560" w:lineRule="exact"/>
        <w:ind w:firstLine="640" w:firstLineChars="200"/>
        <w:jc w:val="both"/>
        <w:rPr>
          <w:rFonts w:hint="eastAsia" w:ascii="方正仿宋_GBK" w:eastAsia="方正仿宋_GBK"/>
          <w:sz w:val="32"/>
          <w:szCs w:val="32"/>
        </w:rPr>
      </w:pPr>
      <w:r>
        <w:rPr>
          <w:rFonts w:hint="eastAsia" w:ascii="方正楷体_GBK" w:hAnsi="方正楷体_GBK" w:eastAsia="方正楷体_GBK" w:cs="方正楷体_GBK"/>
          <w:sz w:val="32"/>
          <w:szCs w:val="32"/>
        </w:rPr>
        <w:t>（二）发展产业带动。</w:t>
      </w:r>
      <w:r>
        <w:rPr>
          <w:rFonts w:hint="eastAsia" w:ascii="方正仿宋_GBK" w:hAnsi="方正仿宋_GBK" w:eastAsia="方正仿宋_GBK" w:cs="方正仿宋_GBK"/>
          <w:sz w:val="32"/>
          <w:szCs w:val="32"/>
        </w:rPr>
        <w:t>鼓励由各村集体经济组织牵头成立</w:t>
      </w:r>
      <w:r>
        <w:rPr>
          <w:rFonts w:hint="eastAsia" w:ascii="方正仿宋_GBK" w:hAnsi="方正仿宋_GBK" w:eastAsia="方正仿宋_GBK" w:cs="方正仿宋_GBK"/>
          <w:spacing w:val="-6"/>
          <w:sz w:val="32"/>
          <w:szCs w:val="32"/>
        </w:rPr>
        <w:t>股份合作社，开展整村推进耕地宜机化整治试点。在此基础上，由各村集体经济组织牵头创办实体经济，发展具有地域特色的</w:t>
      </w:r>
      <w:r>
        <w:rPr>
          <w:rFonts w:hint="eastAsia" w:ascii="方正仿宋_GBK" w:hAnsi="方正仿宋_GBK" w:eastAsia="方正仿宋_GBK" w:cs="方正仿宋_GBK"/>
          <w:sz w:val="32"/>
          <w:szCs w:val="32"/>
        </w:rPr>
        <w:t>花椒、李子、柑橘、特色蔬菜、中药材等</w:t>
      </w:r>
      <w:r>
        <w:rPr>
          <w:rFonts w:hint="eastAsia" w:ascii="方正仿宋_GBK" w:hAnsi="方正仿宋_GBK" w:eastAsia="方正仿宋_GBK" w:cs="方正仿宋_GBK"/>
          <w:spacing w:val="-8"/>
          <w:sz w:val="32"/>
          <w:szCs w:val="32"/>
        </w:rPr>
        <w:t>种植、养殖业，形成“一村一品”。开展土地作价入股探索，引入外部主体合股联营，发展特色产业、休闲农业、观光农业、设施农业，带动集体经济增收。</w:t>
      </w:r>
      <w:r>
        <w:rPr>
          <w:rFonts w:hint="eastAsia" w:ascii="方正仿宋_GBK" w:eastAsia="方正仿宋_GBK"/>
          <w:sz w:val="32"/>
          <w:szCs w:val="32"/>
        </w:rPr>
        <w:t>支持村级集体经济组织组建农房合作社，通过自营或联合经营等形式开办特色民宿，盘活农民闲置房屋。</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（三）开发利用集体资源。</w:t>
      </w:r>
      <w:r>
        <w:rPr>
          <w:rFonts w:hint="eastAsia" w:ascii="方正仿宋_GBK" w:eastAsia="方正仿宋_GBK"/>
          <w:sz w:val="32"/>
          <w:szCs w:val="32"/>
        </w:rPr>
        <w:t>有效利用农村集体“四荒地”，开展设施农业建设，也可以改造为富有生态价值的林地，形成“林票”入市交易。充分挖掘山水林田湖草等自然资源和自然风光价值，发展各具特色的乡村旅游。深入挖掘乡村历史文化内涵，提升乡村旅游的文化品位。在落实管护责任基础上，推动历史古迹、古建筑、古树等资源一定时期的使用权作价入股合作经营。加强对非物质文化遗产的保护、传承与开发利用，鼓励以技术、技艺入股开展产业化经营。</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（四）开展服务创收。</w:t>
      </w:r>
      <w:r>
        <w:rPr>
          <w:rFonts w:hint="eastAsia" w:ascii="方正仿宋_GBK" w:eastAsia="方正仿宋_GBK"/>
          <w:kern w:val="0"/>
          <w:sz w:val="32"/>
          <w:szCs w:val="32"/>
        </w:rPr>
        <w:t>支持购置大型农机具等农业生产设施设备，开展代耕代种、机播机收、统防统治、统购统销等为重点的农业生产性服务。支持开展劳务输出、技术指导、信息咨询、产权交易等中介服务。支持开展幼儿托管、养老养生、红白喜事“一条龙”社会事业性服务。涉农团结、酒井、富广等三个场镇所在村（社区），支持开展物业管理、家政服务、清洁卫生等乡村生活性服务。</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（五）发展集体项目拉动。</w:t>
      </w:r>
      <w:r>
        <w:rPr>
          <w:rFonts w:hint="eastAsia" w:ascii="方正仿宋_GBK" w:eastAsia="方正仿宋_GBK"/>
          <w:kern w:val="0"/>
          <w:sz w:val="32"/>
          <w:szCs w:val="32"/>
        </w:rPr>
        <w:t>积极争取上级对农村基层小微型基础设施建设项目的投入力度。支持农村集体经济组织所得“地票”资金配套用于农村基础设施建设、人居环境改善等项目。鼓励村级集体经济组织组建专业施工队伍，承担小微型农田水利、机耕道路、土地整治、环境治理等基础设施的建设、运营和管护。</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三、做实农村集体经济组织</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（一）明晰集体资产权属。</w:t>
      </w:r>
      <w:r>
        <w:rPr>
          <w:rFonts w:hint="eastAsia" w:ascii="方正仿宋_GBK" w:eastAsia="方正仿宋_GBK"/>
          <w:kern w:val="0"/>
          <w:sz w:val="32"/>
          <w:szCs w:val="32"/>
        </w:rPr>
        <w:t>扎实推进农村集体资产清产核资，全面开展农村集体经济组织成员资格确认，加快推进农村集体经营性资产股份合作制改革。确保2019年底，全面完成12个村（居）农村集体资产清产核资；到2020年年底，基本完成农村集体经营性资产股份合作制改革。有序推进农村“三变”改革试点，坚持把农村“三变”改革作为发展壮大村级集体经济的重要抓手和突破口，重点探索“三变+集体经济”改革模式的具体实现形式。</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（二）健全集体经济组织</w:t>
      </w:r>
      <w:r>
        <w:rPr>
          <w:rFonts w:hint="eastAsia" w:ascii="方正楷体_GBK" w:eastAsia="方正楷体_GBK"/>
          <w:b/>
          <w:kern w:val="0"/>
          <w:sz w:val="32"/>
          <w:szCs w:val="32"/>
        </w:rPr>
        <w:t>。</w:t>
      </w:r>
      <w:r>
        <w:rPr>
          <w:rFonts w:hint="eastAsia" w:ascii="方正仿宋_GBK" w:eastAsia="方正仿宋_GBK"/>
          <w:kern w:val="0"/>
          <w:sz w:val="32"/>
          <w:szCs w:val="32"/>
        </w:rPr>
        <w:t>建立以村、组为基本核算单位的集体经济组织，强化集体经济组织服务功能。全面启动农村集</w:t>
      </w:r>
      <w:r>
        <w:rPr>
          <w:rFonts w:hint="eastAsia" w:ascii="方正仿宋_GBK" w:eastAsia="方正仿宋_GBK"/>
          <w:sz w:val="32"/>
          <w:szCs w:val="32"/>
        </w:rPr>
        <w:t>体经济组织登记赋码。完善集体经济组织章程制度。</w:t>
      </w:r>
      <w:r>
        <w:rPr>
          <w:rFonts w:hint="eastAsia" w:ascii="方正仿宋_GBK" w:eastAsia="方正仿宋_GBK"/>
          <w:kern w:val="0"/>
          <w:sz w:val="32"/>
          <w:szCs w:val="32"/>
        </w:rPr>
        <w:t>支持村级集体经济组织与成员之间开展合股联营。鼓励村级集体经济组织与组级集体经济组织开展股份合作经营或资产托管服务，实现村内资源资产集约化利用。</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（三）完善治理结构。</w:t>
      </w:r>
      <w:r>
        <w:rPr>
          <w:rFonts w:hint="eastAsia" w:ascii="方正仿宋_GBK" w:eastAsia="方正仿宋_GBK"/>
          <w:sz w:val="32"/>
          <w:szCs w:val="32"/>
        </w:rPr>
        <w:t>推行村民委员会事务和集体经济事务分离，构建形成村党组织领导下的村民委员会承担村民自治事务管理职能、村级集体经济组织承担集体经济经营管理职能的治理结构。村党组织、村民委员会、村级集体经济组织的干部，可依法依规交叉任职。</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（四）拓展资产权能。</w:t>
      </w:r>
      <w:r>
        <w:rPr>
          <w:rFonts w:hint="eastAsia" w:ascii="方正仿宋_GBK" w:eastAsia="方正仿宋_GBK"/>
          <w:sz w:val="32"/>
          <w:szCs w:val="32"/>
        </w:rPr>
        <w:t>加快推进集体产权抵押融资、集体资产股份转让与退出等改革探索，赋予农村集体经济组织及其成员对农村集体资产更多权能。</w:t>
      </w:r>
      <w:r>
        <w:rPr>
          <w:rFonts w:hint="eastAsia" w:ascii="方正仿宋_GBK" w:eastAsia="方正仿宋_GBK"/>
          <w:kern w:val="0"/>
          <w:sz w:val="32"/>
          <w:szCs w:val="32"/>
        </w:rPr>
        <w:t>充分发挥农村集体经济组织资产运营管理平台作用，对内主要通过土地股份合作方式聚集资源要素，对外通过产业项目，引入城市工商资本、新型农业经营主体等社会资本，发展股份混合经营。</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四、完善村级集体经济管理制度</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（一）完善民主决策制度。</w:t>
      </w:r>
      <w:r>
        <w:rPr>
          <w:rFonts w:hint="eastAsia" w:ascii="方正仿宋_GBK" w:eastAsia="方正仿宋_GBK"/>
          <w:kern w:val="0"/>
          <w:sz w:val="32"/>
          <w:szCs w:val="32"/>
        </w:rPr>
        <w:t>坚持在村党组织领导下，建立健全集体经济组织成员大会、成员代表大会、理事会会议等议事决策制度，建立重大事项公示制度，在重大投资、股权合作、收益分配等方面实行民主决策、民主管理。</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（二）完善经营管理制度。</w:t>
      </w:r>
      <w:r>
        <w:rPr>
          <w:rFonts w:hint="eastAsia" w:ascii="方正仿宋_GBK" w:eastAsia="方正仿宋_GBK"/>
          <w:kern w:val="0"/>
          <w:sz w:val="32"/>
          <w:szCs w:val="32"/>
        </w:rPr>
        <w:t>建立健全理事会，负责执行成员代表大会决议、制定发展规划、生产经营计划、财务预决算等管理职责。建立健全监事会，执行监督职能，向成员大会负责并报告工作。理事会成员、财务负责人、经营管理人员不得兼任监事会成员。探索村级集体经济职业经理人聘用制度或</w:t>
      </w:r>
      <w:r>
        <w:rPr>
          <w:rFonts w:hint="eastAsia" w:ascii="方正仿宋_GBK" w:eastAsia="方正仿宋_GBK"/>
          <w:sz w:val="32"/>
          <w:szCs w:val="32"/>
        </w:rPr>
        <w:t>事业合伙人制度</w:t>
      </w:r>
      <w:r>
        <w:rPr>
          <w:rFonts w:hint="eastAsia" w:ascii="方正仿宋_GBK" w:eastAsia="方正仿宋_GBK"/>
          <w:kern w:val="0"/>
          <w:sz w:val="32"/>
          <w:szCs w:val="32"/>
        </w:rPr>
        <w:t>。完善村级集体经济组织经营管理人员报酬激励制度。</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（三）完善收益分配制度。</w:t>
      </w:r>
      <w:r>
        <w:rPr>
          <w:rFonts w:hint="eastAsia" w:ascii="方正仿宋_GBK" w:eastAsia="方正仿宋_GBK"/>
          <w:kern w:val="0"/>
          <w:sz w:val="32"/>
          <w:szCs w:val="32"/>
        </w:rPr>
        <w:t>建立基于农村集体资产所有权的收益分配机制，处理好国家、集体和成员个人的利益关系。村级集体经济组织自主经营、对外投资经营、合股联营等取得的收益，按照法律法规及集体经济组织章程规定计提公积金、公益金后，集体经济组织成员按股分红，原则上每年分配一次。分配方案由村集体经济组织提出，村党组织研究讨论，集体经济组织成员大会形成同意决议后实施。</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（四）完善风险防范制度。</w:t>
      </w:r>
      <w:r>
        <w:rPr>
          <w:rFonts w:hint="eastAsia" w:ascii="方正仿宋_GBK" w:eastAsia="方正仿宋_GBK"/>
          <w:kern w:val="0"/>
          <w:sz w:val="32"/>
          <w:szCs w:val="32"/>
        </w:rPr>
        <w:t>规范村级集体经济组织投资经营发展行为，逐步探索完善风险防范机制。健全农村土地纠纷调解仲裁、法律援助服务体系，及时化解以土地为核心的各类矛盾纠纷。加强债务监管，村级集体经济组织负债与经营性资产比例达到100%以上的，要开展风险评估和经营指导。</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（五）完善资产监管制度。</w:t>
      </w:r>
      <w:r>
        <w:rPr>
          <w:rFonts w:hint="eastAsia" w:ascii="方正仿宋_GBK" w:eastAsia="方正仿宋_GBK"/>
          <w:kern w:val="0"/>
          <w:sz w:val="32"/>
          <w:szCs w:val="32"/>
        </w:rPr>
        <w:t>建立农村集体资产年度清查报告制度，健全农村集体资产登记、管理、使用和处置制度。推进农村集体资产监管信息系统建设，探索开展农村集体资产监督管理委员会改革试点。集体经济组织依法依规接受监察、审计等监督，实行集体经济组织负责人离任审计。</w:t>
      </w:r>
    </w:p>
    <w:p>
      <w:pPr>
        <w:spacing w:line="560" w:lineRule="exact"/>
        <w:ind w:firstLine="640" w:firstLineChars="200"/>
        <w:rPr>
          <w:rFonts w:hint="eastAsia" w:ascii="方正仿宋_GBK" w:eastAsia="方正仿宋_GBK"/>
          <w:kern w:val="0"/>
          <w:sz w:val="32"/>
          <w:szCs w:val="32"/>
        </w:rPr>
      </w:pPr>
      <w:r>
        <w:rPr>
          <w:rFonts w:hint="eastAsia" w:ascii="方正楷体_GBK" w:hAnsi="方正楷体_GBK" w:eastAsia="方正楷体_GBK" w:cs="方正楷体_GBK"/>
          <w:sz w:val="32"/>
          <w:szCs w:val="32"/>
        </w:rPr>
        <w:t>（六）完善财务监管制度。</w:t>
      </w:r>
      <w:r>
        <w:rPr>
          <w:rFonts w:hint="eastAsia" w:ascii="方正仿宋_GBK" w:eastAsia="方正仿宋_GBK"/>
          <w:sz w:val="32"/>
          <w:szCs w:val="32"/>
        </w:rPr>
        <w:t>村级集体经济组织采取村财乡代管方式实行街道级代管。村级集体经济组织要专设银行账户，实行独立核算。</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五、实施步骤 </w:t>
      </w:r>
    </w:p>
    <w:p>
      <w:pPr>
        <w:spacing w:line="560" w:lineRule="exact"/>
        <w:ind w:firstLine="640" w:firstLineChars="200"/>
        <w:rPr>
          <w:rFonts w:hint="eastAsia" w:eastAsia="方正仿宋_GBK"/>
          <w:sz w:val="32"/>
          <w:szCs w:val="32"/>
        </w:rPr>
      </w:pPr>
      <w:r>
        <w:rPr>
          <w:rFonts w:hint="eastAsia" w:eastAsia="方正仿宋_GBK"/>
          <w:sz w:val="32"/>
          <w:szCs w:val="32"/>
        </w:rPr>
        <w:t xml:space="preserve">发展壮大村集体经济，总体规划四年（2019年-2022年），分步骤、分阶段实施。 </w:t>
      </w:r>
    </w:p>
    <w:p>
      <w:pPr>
        <w:spacing w:line="560" w:lineRule="exact"/>
        <w:ind w:firstLine="640" w:firstLineChars="200"/>
        <w:rPr>
          <w:rFonts w:hint="eastAsia" w:eastAsia="方正仿宋_GBK"/>
          <w:sz w:val="32"/>
          <w:szCs w:val="32"/>
        </w:rPr>
      </w:pPr>
      <w:r>
        <w:rPr>
          <w:rFonts w:hint="eastAsia" w:ascii="方正楷体_GBK" w:hAnsi="方正楷体_GBK" w:eastAsia="方正楷体_GBK" w:cs="方正楷体_GBK"/>
          <w:color w:val="000000"/>
          <w:sz w:val="32"/>
          <w:szCs w:val="32"/>
        </w:rPr>
        <w:t>（一）谋划部署阶段（2019年8月）。</w:t>
      </w:r>
      <w:r>
        <w:rPr>
          <w:rFonts w:hint="eastAsia" w:eastAsia="方正仿宋_GBK"/>
          <w:sz w:val="32"/>
          <w:szCs w:val="32"/>
        </w:rPr>
        <w:t xml:space="preserve">加大宣传力度，各村（居）研究制定村集体经济总体规划和年度工作计划。组织完成村集体“三资”（资金、资产、资源）清查，搞好调查摸底，确定村集体经济发展项目，制定中长期发展规划。 </w:t>
      </w:r>
    </w:p>
    <w:p>
      <w:pPr>
        <w:spacing w:line="560" w:lineRule="exact"/>
        <w:ind w:firstLine="640" w:firstLineChars="200"/>
        <w:rPr>
          <w:rFonts w:hint="eastAsia" w:eastAsia="方正仿宋_GBK"/>
          <w:sz w:val="32"/>
          <w:szCs w:val="32"/>
        </w:rPr>
      </w:pPr>
      <w:r>
        <w:rPr>
          <w:rFonts w:hint="eastAsia" w:ascii="方正楷体_GBK" w:hAnsi="方正楷体_GBK" w:eastAsia="方正楷体_GBK" w:cs="方正楷体_GBK"/>
          <w:color w:val="000000"/>
          <w:sz w:val="32"/>
          <w:szCs w:val="32"/>
        </w:rPr>
        <w:t>（二）整体推进阶段（2019年9月—2022年6月）。</w:t>
      </w:r>
      <w:r>
        <w:rPr>
          <w:rFonts w:hint="eastAsia" w:eastAsia="方正仿宋_GBK"/>
          <w:sz w:val="32"/>
          <w:szCs w:val="32"/>
        </w:rPr>
        <w:t xml:space="preserve">全面实施村集体经济发展规划，建立发展壮大村集体经济工作台账，细化措施，务实推进。通过1-3年的努力，全面解决“空壳村”问题，力争使30%以上的村集体经济年收入达到5万元以上。 </w:t>
      </w:r>
    </w:p>
    <w:p>
      <w:pPr>
        <w:spacing w:line="560" w:lineRule="exact"/>
        <w:ind w:firstLine="640" w:firstLineChars="200"/>
        <w:rPr>
          <w:rFonts w:hint="eastAsia" w:eastAsia="方正仿宋_GBK"/>
          <w:sz w:val="32"/>
          <w:szCs w:val="32"/>
        </w:rPr>
      </w:pPr>
      <w:r>
        <w:rPr>
          <w:rFonts w:hint="eastAsia" w:ascii="方正楷体_GBK" w:hAnsi="方正楷体_GBK" w:eastAsia="方正楷体_GBK" w:cs="方正楷体_GBK"/>
          <w:color w:val="000000"/>
          <w:sz w:val="32"/>
          <w:szCs w:val="32"/>
        </w:rPr>
        <w:t>（三）成果巩固阶段（2022年7月—12月）。</w:t>
      </w:r>
      <w:r>
        <w:rPr>
          <w:rFonts w:hint="eastAsia" w:eastAsia="方正仿宋_GBK"/>
          <w:sz w:val="32"/>
          <w:szCs w:val="32"/>
        </w:rPr>
        <w:t>全面完成村集体经济四年发展规划，进一步巩固提高发展成果。11月前，抓好档案收集整理，做好总结经验，上报检查验收。</w:t>
      </w:r>
    </w:p>
    <w:p>
      <w:pPr>
        <w:spacing w:line="560" w:lineRule="exact"/>
        <w:ind w:firstLine="640" w:firstLineChars="200"/>
        <w:rPr>
          <w:rFonts w:ascii="方正黑体_GBK" w:eastAsia="方正黑体_GBK"/>
          <w:sz w:val="32"/>
          <w:szCs w:val="32"/>
        </w:rPr>
      </w:pPr>
      <w:r>
        <w:rPr>
          <w:rFonts w:hint="eastAsia" w:ascii="方正黑体_GBK" w:eastAsia="方正黑体_GBK"/>
          <w:kern w:val="0"/>
          <w:sz w:val="32"/>
          <w:szCs w:val="32"/>
        </w:rPr>
        <w:t>六、</w:t>
      </w:r>
      <w:r>
        <w:rPr>
          <w:rFonts w:hint="eastAsia" w:ascii="方正黑体_GBK" w:eastAsia="方正黑体_GBK"/>
          <w:sz w:val="32"/>
          <w:szCs w:val="32"/>
        </w:rPr>
        <w:t>保障措施</w:t>
      </w:r>
    </w:p>
    <w:p>
      <w:pPr>
        <w:spacing w:line="560" w:lineRule="exact"/>
        <w:ind w:firstLine="640" w:firstLineChars="200"/>
        <w:rPr>
          <w:rFonts w:hint="eastAsia" w:ascii="方正仿宋_GBK" w:eastAsia="方正仿宋_GBK"/>
          <w:sz w:val="32"/>
          <w:szCs w:val="32"/>
        </w:rPr>
      </w:pPr>
      <w:r>
        <w:rPr>
          <w:rFonts w:hint="eastAsia" w:ascii="方正楷体_GBK" w:eastAsia="方正楷体_GBK"/>
          <w:bCs/>
          <w:kern w:val="0"/>
          <w:sz w:val="32"/>
          <w:szCs w:val="32"/>
        </w:rPr>
        <w:t>（一）强化组织领导。</w:t>
      </w:r>
      <w:r>
        <w:rPr>
          <w:rFonts w:hint="eastAsia" w:ascii="方正仿宋_GBK" w:eastAsia="方正仿宋_GBK"/>
          <w:sz w:val="32"/>
          <w:szCs w:val="32"/>
        </w:rPr>
        <w:t>建立党委统一领导，组织、财政、农业农村部门统筹推进，各村（居）具体落实的工作体系。各村（居）制定切实可行的实施方案，提出工作计划、具体目标和工作措施，建立工作台账，实行挂单推进。</w:t>
      </w:r>
    </w:p>
    <w:p>
      <w:pPr>
        <w:spacing w:line="560" w:lineRule="exact"/>
        <w:ind w:firstLine="640" w:firstLineChars="200"/>
        <w:rPr>
          <w:rFonts w:hint="eastAsia" w:ascii="方正仿宋_GBK" w:eastAsia="方正仿宋_GBK"/>
          <w:strike/>
          <w:kern w:val="0"/>
          <w:sz w:val="32"/>
          <w:szCs w:val="32"/>
        </w:rPr>
      </w:pPr>
      <w:r>
        <w:rPr>
          <w:rFonts w:hint="eastAsia" w:ascii="方正楷体_GBK" w:eastAsia="方正楷体_GBK"/>
          <w:bCs/>
          <w:kern w:val="0"/>
          <w:sz w:val="32"/>
          <w:szCs w:val="32"/>
        </w:rPr>
        <w:t>（二）强化基层党组织建设。</w:t>
      </w:r>
      <w:r>
        <w:rPr>
          <w:rFonts w:hint="eastAsia" w:ascii="方正仿宋_GBK" w:eastAsia="方正仿宋_GBK"/>
          <w:sz w:val="32"/>
          <w:szCs w:val="32"/>
        </w:rPr>
        <w:t>加强村党组织标准化规范化建设，增强政治功能和组织力。村级集体经济的重要事项，须经村党组织研究讨论。创新党组织设置，推动党的组织和工作全覆盖。</w:t>
      </w:r>
    </w:p>
    <w:p>
      <w:pPr>
        <w:spacing w:line="560" w:lineRule="exact"/>
        <w:ind w:firstLine="640" w:firstLineChars="200"/>
        <w:rPr>
          <w:rFonts w:hint="eastAsia" w:ascii="方正仿宋_GBK" w:eastAsia="方正仿宋_GBK"/>
          <w:sz w:val="32"/>
          <w:szCs w:val="32"/>
        </w:rPr>
      </w:pPr>
      <w:r>
        <w:rPr>
          <w:rFonts w:hint="eastAsia" w:ascii="方正楷体_GBK" w:eastAsia="方正楷体_GBK"/>
          <w:bCs/>
          <w:kern w:val="0"/>
          <w:sz w:val="32"/>
          <w:szCs w:val="32"/>
        </w:rPr>
        <w:t>（三）强化舆论宣传。</w:t>
      </w:r>
      <w:r>
        <w:rPr>
          <w:rFonts w:hint="eastAsia" w:ascii="方正仿宋_GBK" w:eastAsia="方正仿宋_GBK"/>
          <w:sz w:val="32"/>
          <w:szCs w:val="32"/>
        </w:rPr>
        <w:t>加强村级集体经济发展的媒体宣传，引导各类人才和城市工商资本参与村级集体经济发展，营造全社会支持村级集体经济发展的良好环境。加强村级集体经济发展典型挖掘和经验总结，推广好的做法和措施。</w:t>
      </w:r>
    </w:p>
    <w:p>
      <w:pPr>
        <w:spacing w:line="560" w:lineRule="exact"/>
        <w:ind w:firstLine="640" w:firstLineChars="200"/>
        <w:rPr>
          <w:rFonts w:hint="eastAsia" w:ascii="方正仿宋_GBK" w:eastAsia="方正仿宋_GBK"/>
          <w:sz w:val="32"/>
          <w:szCs w:val="32"/>
        </w:rPr>
      </w:pPr>
      <w:r>
        <w:rPr>
          <w:rFonts w:hint="eastAsia" w:ascii="方正楷体_GBK" w:eastAsia="方正楷体_GBK"/>
          <w:bCs/>
          <w:kern w:val="0"/>
          <w:sz w:val="32"/>
          <w:szCs w:val="32"/>
        </w:rPr>
        <w:t>（四）强化督查考评。</w:t>
      </w:r>
      <w:r>
        <w:rPr>
          <w:rFonts w:hint="eastAsia" w:ascii="方正仿宋_GBK" w:eastAsia="方正仿宋_GBK"/>
          <w:sz w:val="32"/>
          <w:szCs w:val="32"/>
        </w:rPr>
        <w:t>把扶持壮大村级集体经济情况，纳入</w:t>
      </w:r>
      <w:r>
        <w:rPr>
          <w:rFonts w:hint="eastAsia" w:ascii="方正仿宋_GBK" w:eastAsia="方正仿宋_GBK"/>
          <w:sz w:val="32"/>
          <w:szCs w:val="32"/>
          <w:lang w:eastAsia="zh-CN"/>
        </w:rPr>
        <w:t>各</w:t>
      </w:r>
      <w:bookmarkStart w:id="0" w:name="_GoBack"/>
      <w:bookmarkEnd w:id="0"/>
      <w:r>
        <w:rPr>
          <w:rFonts w:hint="eastAsia" w:ascii="方正仿宋_GBK" w:eastAsia="方正仿宋_GBK"/>
          <w:sz w:val="32"/>
          <w:szCs w:val="32"/>
        </w:rPr>
        <w:t>村（居）综合考核评价的重要内容，纳入村（社区）党组织书记抓基层党建述职评议考核的重要内容。</w:t>
      </w:r>
    </w:p>
    <w:p>
      <w:pPr>
        <w:spacing w:line="560" w:lineRule="exact"/>
        <w:rPr>
          <w:rFonts w:hint="eastAsia" w:ascii="方正仿宋_GBK" w:eastAsia="方正仿宋_GBK"/>
          <w:sz w:val="32"/>
          <w:szCs w:val="32"/>
        </w:rPr>
      </w:pPr>
    </w:p>
    <w:p>
      <w:pPr>
        <w:spacing w:line="560" w:lineRule="exact"/>
        <w:ind w:firstLine="640" w:firstLineChars="200"/>
        <w:rPr>
          <w:rFonts w:hint="eastAsia" w:ascii="方正仿宋_GBK" w:hAnsi="宋体" w:eastAsia="方正仿宋_GBK"/>
          <w:color w:val="000000"/>
          <w:sz w:val="32"/>
          <w:szCs w:val="32"/>
        </w:rPr>
        <w:sectPr>
          <w:footerReference r:id="rId3" w:type="default"/>
          <w:pgSz w:w="11906" w:h="16838"/>
          <w:pgMar w:top="2098" w:right="1474" w:bottom="1985" w:left="1588" w:header="851" w:footer="992" w:gutter="0"/>
          <w:cols w:space="720" w:num="1"/>
          <w:docGrid w:type="lines" w:linePitch="312" w:charSpace="0"/>
        </w:sectPr>
      </w:pPr>
      <w:r>
        <w:rPr>
          <w:rFonts w:hint="eastAsia" w:ascii="方正仿宋_GBK" w:eastAsia="方正仿宋_GBK"/>
          <w:sz w:val="32"/>
          <w:szCs w:val="32"/>
        </w:rPr>
        <w:t>附件：</w:t>
      </w:r>
      <w:r>
        <w:rPr>
          <w:rFonts w:hint="eastAsia" w:ascii="方正仿宋_GBK" w:eastAsia="方正仿宋_GBK"/>
          <w:color w:val="000000"/>
          <w:kern w:val="0"/>
          <w:sz w:val="30"/>
          <w:szCs w:val="30"/>
        </w:rPr>
        <w:t>荔枝街道2019-2022年村级集体经济收入规划表</w:t>
      </w:r>
    </w:p>
    <w:p>
      <w:pPr>
        <w:spacing w:line="600" w:lineRule="exact"/>
        <w:jc w:val="left"/>
        <w:rPr>
          <w:rFonts w:hint="eastAsia" w:ascii="方正黑体_GBK" w:hAnsi="微软雅黑" w:eastAsia="方正黑体_GBK"/>
          <w:color w:val="000000"/>
          <w:sz w:val="32"/>
          <w:szCs w:val="32"/>
        </w:rPr>
      </w:pPr>
      <w:r>
        <w:rPr>
          <w:rFonts w:hint="eastAsia" w:ascii="方正黑体_GBK" w:hAnsi="微软雅黑" w:eastAsia="方正黑体_GBK"/>
          <w:color w:val="000000"/>
          <w:sz w:val="32"/>
          <w:szCs w:val="32"/>
        </w:rPr>
        <w:t>附件：</w:t>
      </w:r>
    </w:p>
    <w:tbl>
      <w:tblPr>
        <w:tblStyle w:val="10"/>
        <w:tblW w:w="0" w:type="auto"/>
        <w:jc w:val="center"/>
        <w:tblLayout w:type="fixed"/>
        <w:tblCellMar>
          <w:top w:w="0" w:type="dxa"/>
          <w:left w:w="30" w:type="dxa"/>
          <w:bottom w:w="0" w:type="dxa"/>
          <w:right w:w="30" w:type="dxa"/>
        </w:tblCellMar>
      </w:tblPr>
      <w:tblGrid>
        <w:gridCol w:w="765"/>
        <w:gridCol w:w="1413"/>
        <w:gridCol w:w="1270"/>
        <w:gridCol w:w="707"/>
        <w:gridCol w:w="707"/>
        <w:gridCol w:w="706"/>
        <w:gridCol w:w="706"/>
        <w:gridCol w:w="706"/>
        <w:gridCol w:w="706"/>
        <w:gridCol w:w="706"/>
        <w:gridCol w:w="708"/>
      </w:tblGrid>
      <w:tr>
        <w:tblPrEx>
          <w:tblCellMar>
            <w:top w:w="0" w:type="dxa"/>
            <w:left w:w="30" w:type="dxa"/>
            <w:bottom w:w="0" w:type="dxa"/>
            <w:right w:w="30" w:type="dxa"/>
          </w:tblCellMar>
        </w:tblPrEx>
        <w:trPr>
          <w:trHeight w:val="1345" w:hRule="atLeast"/>
          <w:jc w:val="center"/>
        </w:trPr>
        <w:tc>
          <w:tcPr>
            <w:tcW w:w="9100" w:type="dxa"/>
            <w:gridSpan w:val="11"/>
            <w:tcBorders>
              <w:top w:val="nil"/>
              <w:left w:val="nil"/>
              <w:bottom w:val="nil"/>
              <w:right w:val="nil"/>
            </w:tcBorders>
            <w:noWrap w:val="0"/>
            <w:vAlign w:val="top"/>
          </w:tcPr>
          <w:p>
            <w:pPr>
              <w:autoSpaceDE w:val="0"/>
              <w:autoSpaceDN w:val="0"/>
              <w:adjustRightInd w:val="0"/>
              <w:spacing w:line="600" w:lineRule="exact"/>
              <w:jc w:val="center"/>
              <w:rPr>
                <w:rFonts w:hint="eastAsia" w:ascii="微软雅黑" w:hAnsi="微软雅黑" w:eastAsia="微软雅黑"/>
                <w:color w:val="000000"/>
                <w:kern w:val="0"/>
                <w:sz w:val="44"/>
                <w:szCs w:val="44"/>
              </w:rPr>
            </w:pPr>
          </w:p>
          <w:p>
            <w:pPr>
              <w:autoSpaceDE w:val="0"/>
              <w:autoSpaceDN w:val="0"/>
              <w:adjustRightInd w:val="0"/>
              <w:spacing w:line="600" w:lineRule="exact"/>
              <w:jc w:val="center"/>
              <w:rPr>
                <w:rFonts w:hint="eastAsia" w:ascii="方正小标宋_GBK" w:hAnsi="微软雅黑" w:eastAsia="方正小标宋_GBK"/>
                <w:color w:val="000000"/>
                <w:kern w:val="0"/>
                <w:sz w:val="44"/>
                <w:szCs w:val="44"/>
              </w:rPr>
            </w:pPr>
            <w:r>
              <w:rPr>
                <w:rFonts w:hint="eastAsia" w:ascii="方正小标宋_GBK" w:hAnsi="微软雅黑" w:eastAsia="方正小标宋_GBK"/>
                <w:color w:val="000000"/>
                <w:kern w:val="0"/>
                <w:sz w:val="44"/>
                <w:szCs w:val="44"/>
              </w:rPr>
              <w:t>荔枝街道2019-2022年村级集体经济收入规划表</w:t>
            </w:r>
          </w:p>
        </w:tc>
      </w:tr>
      <w:tr>
        <w:tblPrEx>
          <w:tblCellMar>
            <w:top w:w="0" w:type="dxa"/>
            <w:left w:w="30" w:type="dxa"/>
            <w:bottom w:w="0" w:type="dxa"/>
            <w:right w:w="30" w:type="dxa"/>
          </w:tblCellMar>
        </w:tblPrEx>
        <w:trPr>
          <w:trHeight w:val="448" w:hRule="atLeast"/>
          <w:jc w:val="center"/>
        </w:trPr>
        <w:tc>
          <w:tcPr>
            <w:tcW w:w="6274" w:type="dxa"/>
            <w:gridSpan w:val="7"/>
            <w:tcBorders>
              <w:top w:val="nil"/>
              <w:left w:val="nil"/>
              <w:bottom w:val="single" w:color="auto" w:sz="6" w:space="0"/>
              <w:right w:val="nil"/>
            </w:tcBorders>
            <w:noWrap w:val="0"/>
            <w:vAlign w:val="top"/>
          </w:tcPr>
          <w:p>
            <w:pPr>
              <w:autoSpaceDE w:val="0"/>
              <w:autoSpaceDN w:val="0"/>
              <w:adjustRightInd w:val="0"/>
              <w:spacing w:line="400" w:lineRule="exact"/>
              <w:jc w:val="left"/>
              <w:rPr>
                <w:rFonts w:ascii="微软雅黑" w:hAnsi="微软雅黑" w:eastAsia="微软雅黑" w:cs="方正黑体_GBK"/>
                <w:color w:val="000000"/>
                <w:kern w:val="0"/>
                <w:sz w:val="28"/>
                <w:szCs w:val="28"/>
              </w:rPr>
            </w:pPr>
          </w:p>
        </w:tc>
        <w:tc>
          <w:tcPr>
            <w:tcW w:w="2826" w:type="dxa"/>
            <w:gridSpan w:val="4"/>
            <w:tcBorders>
              <w:top w:val="nil"/>
              <w:left w:val="nil"/>
              <w:bottom w:val="single" w:color="auto" w:sz="6" w:space="0"/>
              <w:right w:val="nil"/>
            </w:tcBorders>
            <w:noWrap w:val="0"/>
            <w:vAlign w:val="top"/>
          </w:tcPr>
          <w:p>
            <w:pPr>
              <w:autoSpaceDE w:val="0"/>
              <w:autoSpaceDN w:val="0"/>
              <w:adjustRightInd w:val="0"/>
              <w:spacing w:line="400" w:lineRule="exact"/>
              <w:ind w:firstLine="980" w:firstLineChars="350"/>
              <w:rPr>
                <w:rFonts w:hint="eastAsia" w:ascii="方正仿宋_GBK" w:hAnsi="微软雅黑" w:eastAsia="方正仿宋_GBK" w:cs="方正黑体_GBK"/>
                <w:color w:val="000000"/>
                <w:kern w:val="0"/>
                <w:sz w:val="28"/>
                <w:szCs w:val="28"/>
              </w:rPr>
            </w:pPr>
            <w:r>
              <w:rPr>
                <w:rFonts w:hint="eastAsia" w:ascii="方正仿宋_GBK" w:hAnsi="微软雅黑" w:eastAsia="方正仿宋_GBK" w:cs="方正黑体_GBK"/>
                <w:color w:val="000000"/>
                <w:kern w:val="0"/>
                <w:sz w:val="28"/>
                <w:szCs w:val="28"/>
              </w:rPr>
              <w:t>单位：万元</w:t>
            </w:r>
          </w:p>
        </w:tc>
      </w:tr>
      <w:tr>
        <w:tblPrEx>
          <w:tblCellMar>
            <w:top w:w="0" w:type="dxa"/>
            <w:left w:w="30" w:type="dxa"/>
            <w:bottom w:w="0" w:type="dxa"/>
            <w:right w:w="30" w:type="dxa"/>
          </w:tblCellMar>
        </w:tblPrEx>
        <w:trPr>
          <w:trHeight w:val="1378" w:hRule="atLeast"/>
          <w:jc w:val="center"/>
        </w:trPr>
        <w:tc>
          <w:tcPr>
            <w:tcW w:w="765" w:type="dxa"/>
            <w:vMerge w:val="restart"/>
            <w:tcBorders>
              <w:top w:val="nil"/>
              <w:left w:val="single" w:color="auto" w:sz="6" w:space="0"/>
              <w:bottom w:val="nil"/>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序号</w:t>
            </w:r>
          </w:p>
        </w:tc>
        <w:tc>
          <w:tcPr>
            <w:tcW w:w="1413" w:type="dxa"/>
            <w:vMerge w:val="restart"/>
            <w:tcBorders>
              <w:top w:val="nil"/>
              <w:left w:val="nil"/>
              <w:bottom w:val="nil"/>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村名</w:t>
            </w:r>
          </w:p>
        </w:tc>
        <w:tc>
          <w:tcPr>
            <w:tcW w:w="1270" w:type="dxa"/>
            <w:vMerge w:val="restart"/>
            <w:tcBorders>
              <w:top w:val="single" w:color="auto" w:sz="6" w:space="0"/>
              <w:left w:val="nil"/>
              <w:bottom w:val="nil"/>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2018年已实现经营收入</w:t>
            </w:r>
          </w:p>
        </w:tc>
        <w:tc>
          <w:tcPr>
            <w:tcW w:w="2826" w:type="dxa"/>
            <w:gridSpan w:val="4"/>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2019-2022年</w:t>
            </w:r>
          </w:p>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拟实现经营收入</w:t>
            </w:r>
          </w:p>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（规划)</w:t>
            </w:r>
          </w:p>
        </w:tc>
        <w:tc>
          <w:tcPr>
            <w:tcW w:w="2826" w:type="dxa"/>
            <w:gridSpan w:val="4"/>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实现经营收入达5万及以上时间</w:t>
            </w:r>
          </w:p>
        </w:tc>
      </w:tr>
      <w:tr>
        <w:tblPrEx>
          <w:tblCellMar>
            <w:top w:w="0" w:type="dxa"/>
            <w:left w:w="30" w:type="dxa"/>
            <w:bottom w:w="0" w:type="dxa"/>
            <w:right w:w="30" w:type="dxa"/>
          </w:tblCellMar>
        </w:tblPrEx>
        <w:trPr>
          <w:trHeight w:val="838" w:hRule="atLeast"/>
          <w:jc w:val="center"/>
        </w:trPr>
        <w:tc>
          <w:tcPr>
            <w:tcW w:w="765" w:type="dxa"/>
            <w:vMerge w:val="continue"/>
            <w:tcBorders>
              <w:top w:val="nil"/>
              <w:left w:val="single" w:color="auto" w:sz="6" w:space="0"/>
              <w:bottom w:val="nil"/>
              <w:right w:val="single" w:color="auto" w:sz="6" w:space="0"/>
            </w:tcBorders>
            <w:noWrap w:val="0"/>
            <w:vAlign w:val="center"/>
          </w:tcPr>
          <w:p>
            <w:pPr>
              <w:widowControl/>
              <w:jc w:val="center"/>
              <w:rPr>
                <w:rFonts w:hint="eastAsia" w:ascii="方正仿宋_GBK" w:hAnsi="微软雅黑" w:eastAsia="方正仿宋_GBK" w:cs="宋体"/>
                <w:color w:val="000000"/>
                <w:kern w:val="0"/>
                <w:sz w:val="24"/>
              </w:rPr>
            </w:pPr>
          </w:p>
        </w:tc>
        <w:tc>
          <w:tcPr>
            <w:tcW w:w="1413" w:type="dxa"/>
            <w:vMerge w:val="continue"/>
            <w:tcBorders>
              <w:top w:val="nil"/>
              <w:left w:val="nil"/>
              <w:bottom w:val="nil"/>
              <w:right w:val="single" w:color="auto" w:sz="6" w:space="0"/>
            </w:tcBorders>
            <w:noWrap w:val="0"/>
            <w:vAlign w:val="center"/>
          </w:tcPr>
          <w:p>
            <w:pPr>
              <w:widowControl/>
              <w:jc w:val="center"/>
              <w:rPr>
                <w:rFonts w:hint="eastAsia" w:ascii="方正仿宋_GBK" w:hAnsi="微软雅黑" w:eastAsia="方正仿宋_GBK" w:cs="方正黑体_GBK"/>
                <w:color w:val="000000"/>
                <w:kern w:val="0"/>
                <w:sz w:val="24"/>
              </w:rPr>
            </w:pPr>
          </w:p>
        </w:tc>
        <w:tc>
          <w:tcPr>
            <w:tcW w:w="1270" w:type="dxa"/>
            <w:vMerge w:val="continue"/>
            <w:tcBorders>
              <w:top w:val="single" w:color="auto" w:sz="6" w:space="0"/>
              <w:left w:val="nil"/>
              <w:bottom w:val="nil"/>
              <w:right w:val="single" w:color="auto" w:sz="6" w:space="0"/>
            </w:tcBorders>
            <w:noWrap w:val="0"/>
            <w:vAlign w:val="center"/>
          </w:tcPr>
          <w:p>
            <w:pPr>
              <w:widowControl/>
              <w:jc w:val="center"/>
              <w:rPr>
                <w:rFonts w:hint="eastAsia" w:ascii="方正仿宋_GBK" w:hAnsi="微软雅黑" w:eastAsia="方正仿宋_GBK" w:cs="方正黑体_GBK"/>
                <w:color w:val="000000"/>
                <w:kern w:val="0"/>
                <w:sz w:val="24"/>
              </w:rPr>
            </w:pP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2019</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2020</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2021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2022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2019</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2020</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2021</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方正黑体_GBK"/>
                <w:color w:val="000000"/>
                <w:kern w:val="0"/>
                <w:sz w:val="24"/>
              </w:rPr>
            </w:pPr>
            <w:r>
              <w:rPr>
                <w:rFonts w:hint="eastAsia" w:ascii="方正仿宋_GBK" w:hAnsi="微软雅黑" w:eastAsia="方正仿宋_GBK" w:cs="方正黑体_GBK"/>
                <w:color w:val="000000"/>
                <w:kern w:val="0"/>
                <w:sz w:val="24"/>
              </w:rPr>
              <w:t>2022</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鹅颈关</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36.5</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10.39</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蒿枝坝</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4</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74.2</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76</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76</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协合</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0</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30.12</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4</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新大田</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0.6</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2.37</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乌江</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57.6</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0.2</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6</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荷香</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0.7</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0.3</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小溪</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4.01</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8</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金竺</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5.41</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7</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9</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百灵</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0.29</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2</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10</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方坪</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0.4</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0.36</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5</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olor w:val="000000"/>
                <w:sz w:val="24"/>
              </w:rPr>
              <w:t>√</w:t>
            </w:r>
          </w:p>
        </w:tc>
      </w:tr>
      <w:tr>
        <w:tblPrEx>
          <w:tblCellMar>
            <w:top w:w="0" w:type="dxa"/>
            <w:left w:w="30" w:type="dxa"/>
            <w:bottom w:w="0" w:type="dxa"/>
            <w:right w:w="30" w:type="dxa"/>
          </w:tblCellMar>
        </w:tblPrEx>
        <w:trPr>
          <w:trHeight w:val="481"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11</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东丰</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0</w:t>
            </w: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0.42</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r>
      <w:tr>
        <w:tblPrEx>
          <w:tblCellMar>
            <w:top w:w="0" w:type="dxa"/>
            <w:left w:w="30" w:type="dxa"/>
            <w:bottom w:w="0" w:type="dxa"/>
            <w:right w:w="30" w:type="dxa"/>
          </w:tblCellMar>
        </w:tblPrEx>
        <w:trPr>
          <w:trHeight w:val="513"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12</w:t>
            </w:r>
          </w:p>
        </w:tc>
        <w:tc>
          <w:tcPr>
            <w:tcW w:w="141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平安</w:t>
            </w:r>
          </w:p>
        </w:tc>
        <w:tc>
          <w:tcPr>
            <w:tcW w:w="127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7" w:type="dxa"/>
            <w:tcBorders>
              <w:top w:val="single" w:color="auto" w:sz="6" w:space="0"/>
              <w:left w:val="nil"/>
              <w:bottom w:val="single" w:color="auto" w:sz="6" w:space="0"/>
              <w:right w:val="single" w:color="auto" w:sz="6" w:space="0"/>
            </w:tcBorders>
            <w:noWrap w:val="0"/>
            <w:vAlign w:val="center"/>
          </w:tcPr>
          <w:p>
            <w:pPr>
              <w:widowControl/>
              <w:jc w:val="center"/>
              <w:textAlignment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lang w:bidi="ar"/>
              </w:rPr>
              <w:t>2.18</w:t>
            </w:r>
          </w:p>
        </w:tc>
        <w:tc>
          <w:tcPr>
            <w:tcW w:w="70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r>
              <w:rPr>
                <w:rFonts w:hint="eastAsia" w:ascii="方正仿宋_GBK" w:hAnsi="微软雅黑" w:eastAsia="方正仿宋_GBK" w:cs="宋体"/>
                <w:color w:val="000000"/>
                <w:kern w:val="0"/>
                <w:sz w:val="24"/>
              </w:rPr>
              <w:t>3</w:t>
            </w: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c>
          <w:tcPr>
            <w:tcW w:w="70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方正仿宋_GBK" w:hAnsi="微软雅黑" w:eastAsia="方正仿宋_GBK" w:cs="宋体"/>
                <w:color w:val="000000"/>
                <w:kern w:val="0"/>
                <w:sz w:val="24"/>
              </w:rPr>
            </w:pPr>
          </w:p>
        </w:tc>
      </w:tr>
    </w:tbl>
    <w:p>
      <w:pPr>
        <w:spacing w:line="560" w:lineRule="exact"/>
        <w:rPr>
          <w:rFonts w:hint="eastAsia" w:eastAsia="方正仿宋_GBK"/>
          <w:kern w:val="0"/>
          <w:sz w:val="32"/>
          <w:szCs w:val="32"/>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pBdr>
          <w:top w:val="single" w:color="auto" w:sz="6" w:space="0"/>
          <w:bottom w:val="single" w:color="auto" w:sz="6" w:space="1"/>
        </w:pBdr>
        <w:tabs>
          <w:tab w:val="left" w:pos="7520"/>
        </w:tabs>
        <w:spacing w:line="540" w:lineRule="exact"/>
        <w:ind w:right="23" w:rightChars="11" w:firstLine="144" w:firstLineChars="50"/>
        <w:rPr>
          <w:rFonts w:hint="eastAsia" w:ascii="方正仿宋_GBK" w:eastAsia="方正仿宋_GBK"/>
          <w:spacing w:val="-6"/>
          <w:sz w:val="30"/>
          <w:szCs w:val="30"/>
        </w:rPr>
      </w:pPr>
      <w:r>
        <w:rPr>
          <w:rFonts w:hint="eastAsia" w:ascii="方正仿宋_GBK" w:eastAsia="方正仿宋_GBK"/>
          <w:spacing w:val="-6"/>
          <w:sz w:val="30"/>
          <w:szCs w:val="30"/>
        </w:rPr>
        <w:t>涪陵区荔枝街道党政办公室               2020年6月29日印发</w:t>
      </w:r>
    </w:p>
    <w:sectPr>
      <w:footerReference r:id="rId4" w:type="default"/>
      <w:footerReference r:id="rId5" w:type="even"/>
      <w:pgSz w:w="11906" w:h="16838"/>
      <w:pgMar w:top="1134" w:right="1474" w:bottom="1134" w:left="1587" w:header="170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微软雅黑">
    <w:altName w:val="方正黑体_GBK"/>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sz w:val="28"/>
      </w:rPr>
    </w:pPr>
    <w:r>
      <w:rPr>
        <w:rFonts w:hint="eastAsia"/>
        <w:sz w:val="28"/>
      </w:rPr>
      <w:t xml:space="preserve">                                                  —</w:t>
    </w:r>
    <w:r>
      <w:rPr>
        <w:sz w:val="28"/>
      </w:rPr>
      <w:fldChar w:fldCharType="begin"/>
    </w:r>
    <w:r>
      <w:rPr>
        <w:rStyle w:val="13"/>
        <w:sz w:val="28"/>
      </w:rPr>
      <w:instrText xml:space="preserve"> PAGE </w:instrText>
    </w:r>
    <w:r>
      <w:rPr>
        <w:sz w:val="28"/>
      </w:rPr>
      <w:fldChar w:fldCharType="separate"/>
    </w:r>
    <w:r>
      <w:rPr>
        <w:rStyle w:val="13"/>
        <w:sz w:val="28"/>
        <w:lang/>
      </w:rPr>
      <w:t>8</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jc w:val="right"/>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lang/>
                            </w:rPr>
                            <w:t>9</w:t>
                          </w:r>
                          <w:r>
                            <w:rPr>
                              <w:kern w:val="0"/>
                              <w:sz w:val="28"/>
                              <w:szCs w:val="28"/>
                            </w:rPr>
                            <w:fldChar w:fldCharType="end"/>
                          </w:r>
                          <w:r>
                            <w:rPr>
                              <w:rFonts w:hint="eastAsia"/>
                              <w:kern w:val="0"/>
                              <w:sz w:val="28"/>
                              <w:szCs w:val="28"/>
                            </w:rPr>
                            <w:t>—</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HXnm0AQAAUgMAAA4AAABkcnMv&#10;ZTJvRG9jLnhtbK1TS44TMRDdI3EHy3viTk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JMdeebQBAABSAwAADgAAAAAAAAABACAAAAA0AQAAZHJzL2Uyb0Rv&#10;Yy54bWxQSwUGAAAAAAYABgBZAQAAWgUAAAAA&#10;">
              <v:fill on="f" focussize="0,0"/>
              <v:stroke on="f"/>
              <v:imagedata o:title=""/>
              <o:lock v:ext="edit" aspectratio="f"/>
              <v:textbox inset="0mm,0mm,0mm,0mm" style="mso-fit-shape-to-text:t;">
                <w:txbxContent>
                  <w:p>
                    <w:pPr>
                      <w:pStyle w:val="7"/>
                      <w:jc w:val="right"/>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lang/>
                      </w:rPr>
                      <w:t>9</w:t>
                    </w:r>
                    <w:r>
                      <w:rPr>
                        <w:kern w:val="0"/>
                        <w:sz w:val="28"/>
                        <w:szCs w:val="28"/>
                      </w:rPr>
                      <w:fldChar w:fldCharType="end"/>
                    </w:r>
                    <w:r>
                      <w:rPr>
                        <w:rFonts w:hint="eastAsia"/>
                        <w:kern w:val="0"/>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06F2"/>
    <w:multiLevelType w:val="singleLevel"/>
    <w:tmpl w:val="CB2106F2"/>
    <w:lvl w:ilvl="0" w:tentative="0">
      <w:start w:val="1"/>
      <w:numFmt w:val="chineseCounting"/>
      <w:suff w:val="nothing"/>
      <w:lvlText w:val="（%1）"/>
      <w:lvlJc w:val="left"/>
      <w:rPr>
        <w:rFonts w:hint="eastAsia"/>
      </w:rPr>
    </w:lvl>
  </w:abstractNum>
  <w:abstractNum w:abstractNumId="1">
    <w:nsid w:val="7EF974A1"/>
    <w:multiLevelType w:val="multilevel"/>
    <w:tmpl w:val="7EF974A1"/>
    <w:lvl w:ilvl="0" w:tentative="0">
      <w:start w:val="1"/>
      <w:numFmt w:val="decimal"/>
      <w:pStyle w:val="2"/>
      <w:suff w:val="space"/>
      <w:lvlText w:val="%1"/>
      <w:lvlJc w:val="left"/>
      <w:pPr>
        <w:ind w:left="3592" w:hanging="432"/>
      </w:pPr>
      <w:rPr>
        <w:rFonts w:cs="Times New Roman"/>
      </w:rPr>
    </w:lvl>
    <w:lvl w:ilvl="1" w:tentative="0">
      <w:start w:val="1"/>
      <w:numFmt w:val="decimal"/>
      <w:pStyle w:val="3"/>
      <w:suff w:val="space"/>
      <w:lvlText w:val="%1.%2"/>
      <w:lvlJc w:val="left"/>
      <w:pPr>
        <w:ind w:left="576" w:hanging="576"/>
      </w:pPr>
      <w:rPr>
        <w:rFonts w:cs="Times New Roman"/>
      </w:rPr>
    </w:lvl>
    <w:lvl w:ilvl="2" w:tentative="0">
      <w:start w:val="1"/>
      <w:numFmt w:val="decimal"/>
      <w:pStyle w:val="4"/>
      <w:suff w:val="space"/>
      <w:lvlText w:val="%1.%2.%3"/>
      <w:lvlJc w:val="left"/>
      <w:pPr>
        <w:ind w:left="720" w:hanging="720"/>
      </w:pPr>
      <w:rPr>
        <w:rFonts w:cs="Times New Roman"/>
      </w:rPr>
    </w:lvl>
    <w:lvl w:ilvl="3" w:tentative="0">
      <w:start w:val="1"/>
      <w:numFmt w:val="decimal"/>
      <w:suff w:val="space"/>
      <w:lvlText w:val="%1.%2.%3.%4"/>
      <w:lvlJc w:val="left"/>
      <w:pPr>
        <w:ind w:left="964" w:hanging="9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DC"/>
    <w:rsid w:val="00011927"/>
    <w:rsid w:val="000143EA"/>
    <w:rsid w:val="000243C0"/>
    <w:rsid w:val="00045A54"/>
    <w:rsid w:val="00045C00"/>
    <w:rsid w:val="00054D8D"/>
    <w:rsid w:val="00060F52"/>
    <w:rsid w:val="00066AE1"/>
    <w:rsid w:val="0007525C"/>
    <w:rsid w:val="000B1CF3"/>
    <w:rsid w:val="000D6624"/>
    <w:rsid w:val="000F1269"/>
    <w:rsid w:val="000F182C"/>
    <w:rsid w:val="000F2E1B"/>
    <w:rsid w:val="001254C3"/>
    <w:rsid w:val="00126C4E"/>
    <w:rsid w:val="00134763"/>
    <w:rsid w:val="00140E18"/>
    <w:rsid w:val="00161556"/>
    <w:rsid w:val="00167EDB"/>
    <w:rsid w:val="00192F96"/>
    <w:rsid w:val="001B31B8"/>
    <w:rsid w:val="001B331F"/>
    <w:rsid w:val="001B77CD"/>
    <w:rsid w:val="001D31DD"/>
    <w:rsid w:val="001D7574"/>
    <w:rsid w:val="002062BB"/>
    <w:rsid w:val="002224AF"/>
    <w:rsid w:val="0024410C"/>
    <w:rsid w:val="00244DB2"/>
    <w:rsid w:val="00250CA7"/>
    <w:rsid w:val="002744D2"/>
    <w:rsid w:val="002752DA"/>
    <w:rsid w:val="00292C3C"/>
    <w:rsid w:val="00296A8C"/>
    <w:rsid w:val="002A70D9"/>
    <w:rsid w:val="002B49A3"/>
    <w:rsid w:val="002E7CFB"/>
    <w:rsid w:val="002F2B17"/>
    <w:rsid w:val="0030088C"/>
    <w:rsid w:val="0030202D"/>
    <w:rsid w:val="003244AF"/>
    <w:rsid w:val="0034497E"/>
    <w:rsid w:val="0035496F"/>
    <w:rsid w:val="0038339C"/>
    <w:rsid w:val="0039673B"/>
    <w:rsid w:val="003C3D77"/>
    <w:rsid w:val="00425063"/>
    <w:rsid w:val="0044171B"/>
    <w:rsid w:val="004455AD"/>
    <w:rsid w:val="00451167"/>
    <w:rsid w:val="00470362"/>
    <w:rsid w:val="00484230"/>
    <w:rsid w:val="004A4388"/>
    <w:rsid w:val="004B04B5"/>
    <w:rsid w:val="004B31D3"/>
    <w:rsid w:val="004E14F8"/>
    <w:rsid w:val="004E609E"/>
    <w:rsid w:val="004F6AB0"/>
    <w:rsid w:val="00510F5E"/>
    <w:rsid w:val="005144C5"/>
    <w:rsid w:val="00517D60"/>
    <w:rsid w:val="0052089E"/>
    <w:rsid w:val="005323AA"/>
    <w:rsid w:val="005479CD"/>
    <w:rsid w:val="00550D28"/>
    <w:rsid w:val="00595A89"/>
    <w:rsid w:val="005A7DBF"/>
    <w:rsid w:val="005C51DC"/>
    <w:rsid w:val="005C7C93"/>
    <w:rsid w:val="005E65AC"/>
    <w:rsid w:val="006400F4"/>
    <w:rsid w:val="0064555E"/>
    <w:rsid w:val="00645770"/>
    <w:rsid w:val="00692CA2"/>
    <w:rsid w:val="00694065"/>
    <w:rsid w:val="006951A7"/>
    <w:rsid w:val="006969FE"/>
    <w:rsid w:val="00697C3F"/>
    <w:rsid w:val="006A06F3"/>
    <w:rsid w:val="0070082C"/>
    <w:rsid w:val="0070149E"/>
    <w:rsid w:val="00723C83"/>
    <w:rsid w:val="00727B0B"/>
    <w:rsid w:val="0073171C"/>
    <w:rsid w:val="00732ECD"/>
    <w:rsid w:val="007651A6"/>
    <w:rsid w:val="00777090"/>
    <w:rsid w:val="00797681"/>
    <w:rsid w:val="007A0F8B"/>
    <w:rsid w:val="007B44BE"/>
    <w:rsid w:val="007D47B2"/>
    <w:rsid w:val="007E3C72"/>
    <w:rsid w:val="007F1BEC"/>
    <w:rsid w:val="0080314A"/>
    <w:rsid w:val="00807CD4"/>
    <w:rsid w:val="00814F45"/>
    <w:rsid w:val="0082408A"/>
    <w:rsid w:val="008266FA"/>
    <w:rsid w:val="008277F3"/>
    <w:rsid w:val="00835B18"/>
    <w:rsid w:val="0084317A"/>
    <w:rsid w:val="008530D6"/>
    <w:rsid w:val="00854868"/>
    <w:rsid w:val="0085542F"/>
    <w:rsid w:val="00867112"/>
    <w:rsid w:val="00871B1F"/>
    <w:rsid w:val="00890909"/>
    <w:rsid w:val="008976B2"/>
    <w:rsid w:val="008A2146"/>
    <w:rsid w:val="008F2D81"/>
    <w:rsid w:val="00924A8F"/>
    <w:rsid w:val="00931D34"/>
    <w:rsid w:val="009525EB"/>
    <w:rsid w:val="0095300A"/>
    <w:rsid w:val="00956FEC"/>
    <w:rsid w:val="00964AAD"/>
    <w:rsid w:val="00992D49"/>
    <w:rsid w:val="009A1F02"/>
    <w:rsid w:val="009A6AB0"/>
    <w:rsid w:val="009C01B2"/>
    <w:rsid w:val="009C71AD"/>
    <w:rsid w:val="009E0129"/>
    <w:rsid w:val="009F37EF"/>
    <w:rsid w:val="00A012B2"/>
    <w:rsid w:val="00A01F0B"/>
    <w:rsid w:val="00A306A1"/>
    <w:rsid w:val="00A31D71"/>
    <w:rsid w:val="00A4198A"/>
    <w:rsid w:val="00A57B8E"/>
    <w:rsid w:val="00A62B8E"/>
    <w:rsid w:val="00A77D98"/>
    <w:rsid w:val="00A87403"/>
    <w:rsid w:val="00A95DCE"/>
    <w:rsid w:val="00A95EFB"/>
    <w:rsid w:val="00A97961"/>
    <w:rsid w:val="00AA707D"/>
    <w:rsid w:val="00AE0486"/>
    <w:rsid w:val="00AE0A4F"/>
    <w:rsid w:val="00AE22AF"/>
    <w:rsid w:val="00AE31E0"/>
    <w:rsid w:val="00AE7AB6"/>
    <w:rsid w:val="00AF6698"/>
    <w:rsid w:val="00B16D6B"/>
    <w:rsid w:val="00B52916"/>
    <w:rsid w:val="00B62EF1"/>
    <w:rsid w:val="00B640E1"/>
    <w:rsid w:val="00B66DE1"/>
    <w:rsid w:val="00B726B1"/>
    <w:rsid w:val="00B876DC"/>
    <w:rsid w:val="00BD1909"/>
    <w:rsid w:val="00BD43D2"/>
    <w:rsid w:val="00BE32D7"/>
    <w:rsid w:val="00BE7608"/>
    <w:rsid w:val="00BF1D0E"/>
    <w:rsid w:val="00BF5158"/>
    <w:rsid w:val="00C24258"/>
    <w:rsid w:val="00C27C92"/>
    <w:rsid w:val="00C32646"/>
    <w:rsid w:val="00C55D77"/>
    <w:rsid w:val="00C62C30"/>
    <w:rsid w:val="00C7273E"/>
    <w:rsid w:val="00CA3CA6"/>
    <w:rsid w:val="00CB0143"/>
    <w:rsid w:val="00CB40E4"/>
    <w:rsid w:val="00CD53C6"/>
    <w:rsid w:val="00CD6184"/>
    <w:rsid w:val="00CE5AF7"/>
    <w:rsid w:val="00D316FD"/>
    <w:rsid w:val="00D5558F"/>
    <w:rsid w:val="00DD0BCA"/>
    <w:rsid w:val="00DE5DD4"/>
    <w:rsid w:val="00DF7E67"/>
    <w:rsid w:val="00E1024F"/>
    <w:rsid w:val="00E16FCF"/>
    <w:rsid w:val="00E472E5"/>
    <w:rsid w:val="00E62AAC"/>
    <w:rsid w:val="00E6625F"/>
    <w:rsid w:val="00E85118"/>
    <w:rsid w:val="00E86FBC"/>
    <w:rsid w:val="00E9058D"/>
    <w:rsid w:val="00EB19E7"/>
    <w:rsid w:val="00EB5C38"/>
    <w:rsid w:val="00EC70F8"/>
    <w:rsid w:val="00F469A1"/>
    <w:rsid w:val="00F53A95"/>
    <w:rsid w:val="00F63579"/>
    <w:rsid w:val="00F8072C"/>
    <w:rsid w:val="00F83F02"/>
    <w:rsid w:val="00F86E48"/>
    <w:rsid w:val="00F96FB3"/>
    <w:rsid w:val="00FA0E60"/>
    <w:rsid w:val="00FA6770"/>
    <w:rsid w:val="00FB3049"/>
    <w:rsid w:val="00FC4222"/>
    <w:rsid w:val="00FD5A42"/>
    <w:rsid w:val="00FE172B"/>
    <w:rsid w:val="01D95BBA"/>
    <w:rsid w:val="02E92D0D"/>
    <w:rsid w:val="045B0125"/>
    <w:rsid w:val="0ABF3717"/>
    <w:rsid w:val="0FB05496"/>
    <w:rsid w:val="10AF36CC"/>
    <w:rsid w:val="11951321"/>
    <w:rsid w:val="15581D2C"/>
    <w:rsid w:val="19485549"/>
    <w:rsid w:val="19ED29BB"/>
    <w:rsid w:val="19F573C2"/>
    <w:rsid w:val="1A0D60C5"/>
    <w:rsid w:val="1EF81127"/>
    <w:rsid w:val="1FB57409"/>
    <w:rsid w:val="235B39A3"/>
    <w:rsid w:val="237A46D0"/>
    <w:rsid w:val="23A56750"/>
    <w:rsid w:val="25390E0F"/>
    <w:rsid w:val="2736017E"/>
    <w:rsid w:val="28412963"/>
    <w:rsid w:val="28856B15"/>
    <w:rsid w:val="28B00890"/>
    <w:rsid w:val="28E40740"/>
    <w:rsid w:val="28F21D37"/>
    <w:rsid w:val="2A7C5913"/>
    <w:rsid w:val="2B333598"/>
    <w:rsid w:val="2BFC67F0"/>
    <w:rsid w:val="2C254083"/>
    <w:rsid w:val="2C8B0F59"/>
    <w:rsid w:val="30A80BD7"/>
    <w:rsid w:val="30D22F71"/>
    <w:rsid w:val="355A5120"/>
    <w:rsid w:val="36321A67"/>
    <w:rsid w:val="368E57CC"/>
    <w:rsid w:val="37FC037A"/>
    <w:rsid w:val="385E0D9B"/>
    <w:rsid w:val="388A315C"/>
    <w:rsid w:val="393E19AE"/>
    <w:rsid w:val="39623CF3"/>
    <w:rsid w:val="3A88795A"/>
    <w:rsid w:val="3F3A7BAE"/>
    <w:rsid w:val="3F5BAD1E"/>
    <w:rsid w:val="403958FE"/>
    <w:rsid w:val="427E7060"/>
    <w:rsid w:val="4928307E"/>
    <w:rsid w:val="4C051A29"/>
    <w:rsid w:val="4C2B0319"/>
    <w:rsid w:val="4CB165BA"/>
    <w:rsid w:val="50F20779"/>
    <w:rsid w:val="50FA004E"/>
    <w:rsid w:val="51950BA1"/>
    <w:rsid w:val="52EB73BE"/>
    <w:rsid w:val="53067248"/>
    <w:rsid w:val="54841203"/>
    <w:rsid w:val="55AF5E0B"/>
    <w:rsid w:val="5618020E"/>
    <w:rsid w:val="573F419F"/>
    <w:rsid w:val="59B511A1"/>
    <w:rsid w:val="5ABA460A"/>
    <w:rsid w:val="5B160674"/>
    <w:rsid w:val="5E546C30"/>
    <w:rsid w:val="5E9F5E6D"/>
    <w:rsid w:val="5FD73783"/>
    <w:rsid w:val="65D56940"/>
    <w:rsid w:val="67FB09D9"/>
    <w:rsid w:val="69DA495F"/>
    <w:rsid w:val="6A473C04"/>
    <w:rsid w:val="6C1941E7"/>
    <w:rsid w:val="6CE25D98"/>
    <w:rsid w:val="6D22447B"/>
    <w:rsid w:val="6D90561D"/>
    <w:rsid w:val="703F5AF6"/>
    <w:rsid w:val="71E73A41"/>
    <w:rsid w:val="72B26F20"/>
    <w:rsid w:val="73F824F5"/>
    <w:rsid w:val="769617F9"/>
    <w:rsid w:val="78E17ADD"/>
    <w:rsid w:val="7934024E"/>
    <w:rsid w:val="7A137F38"/>
    <w:rsid w:val="7C61677A"/>
    <w:rsid w:val="7C70382D"/>
    <w:rsid w:val="7D19224F"/>
    <w:rsid w:val="7DD544DA"/>
    <w:rsid w:val="7EB91B79"/>
    <w:rsid w:val="A7D767C6"/>
    <w:rsid w:val="FCFB84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widowControl/>
      <w:numPr>
        <w:ilvl w:val="0"/>
        <w:numId w:val="1"/>
      </w:numPr>
      <w:jc w:val="center"/>
      <w:outlineLvl w:val="0"/>
    </w:pPr>
    <w:rPr>
      <w:rFonts w:eastAsia="方正小标宋_GBK"/>
      <w:b/>
      <w:bCs/>
      <w:kern w:val="44"/>
      <w:sz w:val="44"/>
      <w:szCs w:val="44"/>
    </w:rPr>
  </w:style>
  <w:style w:type="paragraph" w:styleId="3">
    <w:name w:val="heading 2"/>
    <w:basedOn w:val="1"/>
    <w:next w:val="1"/>
    <w:qFormat/>
    <w:uiPriority w:val="0"/>
    <w:pPr>
      <w:widowControl/>
      <w:numPr>
        <w:ilvl w:val="1"/>
        <w:numId w:val="1"/>
      </w:numPr>
      <w:spacing w:line="560" w:lineRule="exact"/>
      <w:jc w:val="left"/>
      <w:outlineLvl w:val="1"/>
    </w:pPr>
    <w:rPr>
      <w:rFonts w:eastAsia="方正黑体_GBK"/>
      <w:bCs/>
    </w:rPr>
  </w:style>
  <w:style w:type="paragraph" w:styleId="4">
    <w:name w:val="heading 3"/>
    <w:basedOn w:val="1"/>
    <w:next w:val="1"/>
    <w:link w:val="15"/>
    <w:qFormat/>
    <w:uiPriority w:val="0"/>
    <w:pPr>
      <w:widowControl/>
      <w:numPr>
        <w:ilvl w:val="2"/>
        <w:numId w:val="1"/>
      </w:numPr>
      <w:spacing w:line="560" w:lineRule="exact"/>
      <w:jc w:val="left"/>
      <w:outlineLvl w:val="2"/>
    </w:pPr>
    <w:rPr>
      <w:rFonts w:eastAsia="方正楷体_GBK"/>
      <w:b/>
      <w:bCs/>
      <w:kern w:val="0"/>
      <w:sz w:val="20"/>
      <w:szCs w:val="20"/>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5">
    <w:name w:val="Body Text"/>
    <w:basedOn w:val="1"/>
    <w:uiPriority w:val="0"/>
    <w:pPr>
      <w:spacing w:after="120"/>
    </w:pPr>
    <w:rPr>
      <w:rFonts w:eastAsia="仿宋_GB2312"/>
      <w:sz w:val="32"/>
      <w:szCs w:val="32"/>
    </w:rPr>
  </w:style>
  <w:style w:type="paragraph" w:styleId="6">
    <w:name w:val="Body Text Indent"/>
    <w:basedOn w:val="1"/>
    <w:uiPriority w:val="0"/>
    <w:pPr>
      <w:widowControl/>
      <w:spacing w:before="100" w:beforeAutospacing="1" w:after="100" w:afterAutospacing="1" w:line="225" w:lineRule="atLeast"/>
      <w:jc w:val="left"/>
    </w:pPr>
    <w:rPr>
      <w:rFonts w:ascii="宋体" w:hAnsi="宋体" w:eastAsia="方正仿宋_GBK"/>
      <w:color w:val="000000"/>
      <w:kern w:val="0"/>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basedOn w:val="12"/>
    <w:uiPriority w:val="0"/>
    <w:rPr>
      <w:color w:val="0000FF"/>
      <w:u w:val="single"/>
    </w:rPr>
  </w:style>
  <w:style w:type="character" w:customStyle="1" w:styleId="15">
    <w:name w:val="标题 3 Char"/>
    <w:link w:val="4"/>
    <w:qFormat/>
    <w:locked/>
    <w:uiPriority w:val="0"/>
    <w:rPr>
      <w:rFonts w:eastAsia="方正楷体_GBK"/>
      <w:b/>
      <w:bCs/>
    </w:rPr>
  </w:style>
  <w:style w:type="paragraph" w:customStyle="1" w:styleId="16">
    <w:name w:val="p16"/>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表格"/>
    <w:qFormat/>
    <w:uiPriority w:val="0"/>
    <w:pPr>
      <w:widowControl w:val="0"/>
      <w:jc w:val="center"/>
    </w:pPr>
    <w:rPr>
      <w:rFonts w:ascii="方正仿宋_GBK" w:eastAsia="方正仿宋_GBK"/>
      <w:kern w:val="2"/>
      <w:sz w:val="21"/>
      <w:lang w:val="en-US" w:eastAsia="zh-CN" w:bidi="ar-SA"/>
    </w:rPr>
  </w:style>
  <w:style w:type="paragraph" w:customStyle="1" w:styleId="18">
    <w:name w:val="列出段落1"/>
    <w:basedOn w:val="1"/>
    <w:uiPriority w:val="0"/>
    <w:pPr>
      <w:ind w:firstLine="200" w:firstLineChars="200"/>
    </w:pPr>
  </w:style>
  <w:style w:type="paragraph" w:customStyle="1" w:styleId="19">
    <w:name w:val="列出段落11"/>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690</Words>
  <Characters>3933</Characters>
  <Lines>32</Lines>
  <Paragraphs>9</Paragraphs>
  <TotalTime>10.3333333333333</TotalTime>
  <ScaleCrop>false</ScaleCrop>
  <LinksUpToDate>false</LinksUpToDate>
  <CharactersWithSpaces>4614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2004-01-01T09:22:00Z</dcterms:created>
  <dc:creator>X</dc:creator>
  <cp:lastModifiedBy>user</cp:lastModifiedBy>
  <cp:lastPrinted>2020-07-06T18:28:00Z</cp:lastPrinted>
  <dcterms:modified xsi:type="dcterms:W3CDTF">2023-08-08T16:38:30Z</dcterms:modified>
  <dc:title>涪荔枝办文〔2012〕220号           签发人：余龙坤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