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EDDA">
      <w:pPr>
        <w:spacing w:line="400" w:lineRule="exact"/>
        <w:rPr>
          <w:rFonts w:ascii="方正小标宋_GBK" w:eastAsia="方正小标宋_GBK"/>
          <w:b/>
          <w:bCs/>
        </w:rPr>
      </w:pPr>
    </w:p>
    <w:p w14:paraId="673BDFA6">
      <w:pPr>
        <w:spacing w:line="400" w:lineRule="exact"/>
        <w:rPr>
          <w:rFonts w:ascii="方正小标宋_GBK" w:eastAsia="方正小标宋_GBK"/>
          <w:spacing w:val="-14"/>
          <w:w w:val="42"/>
        </w:rPr>
      </w:pPr>
      <w:r>
        <w:rPr>
          <w:rFonts w:ascii="方正小标宋_GBK" w:eastAsia="方正小标宋_GBK"/>
          <w:b/>
          <w:bCs/>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186055</wp:posOffset>
                </wp:positionV>
                <wp:extent cx="635" cy="0"/>
                <wp:effectExtent l="0" t="12700" r="18415" b="15875"/>
                <wp:wrapTight wrapText="bothSides">
                  <wp:wrapPolygon>
                    <wp:start x="0" y="0"/>
                    <wp:lineTo x="0" y="0"/>
                    <wp:lineTo x="0" y="0"/>
                    <wp:lineTo x="0" y="0"/>
                    <wp:lineTo x="0" y="0"/>
                  </wp:wrapPolygon>
                </wp:wrapTight>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top:14.65pt;height:0pt;width:0.05pt;mso-position-horizontal:center;mso-wrap-distance-left:9pt;mso-wrap-distance-right:9pt;z-index:251659264;mso-width-relative:page;mso-height-relative:page;" filled="f" stroked="t" coordsize="21600,21600" wrapcoords="0 0 0 0 0 0 0 0 0 0" o:gfxdata="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bKD40QAAAAMBAAAP&#10;AAAAAAAAAAEAIAAAACIAAABkcnMvZG93bnJldi54bWxQSwECFAAUAAAACACHTuJAJB3fIuYBAADY&#10;AwAADgAAAAAAAAABACAAAAAgAQAAZHJzL2Uyb0RvYy54bWxQSwUGAAAAAAYABgBZAQAAeAUAAAAA&#10;">
                <v:fill on="f" focussize="0,0"/>
                <v:stroke weight="2pt" color="#000000" joinstyle="round"/>
                <v:imagedata o:title=""/>
                <o:lock v:ext="edit" aspectratio="f"/>
                <w10:wrap type="tight"/>
              </v:line>
            </w:pict>
          </mc:Fallback>
        </mc:AlternateContent>
      </w:r>
    </w:p>
    <w:p w14:paraId="16CB1DEF">
      <w:pPr>
        <w:tabs>
          <w:tab w:val="left" w:pos="5025"/>
        </w:tabs>
        <w:spacing w:line="400" w:lineRule="exact"/>
        <w:jc w:val="left"/>
        <w:rPr>
          <w:rFonts w:ascii="方正小标宋_GBK" w:eastAsia="方正小标宋_GBK"/>
          <w:spacing w:val="-14"/>
          <w:w w:val="42"/>
        </w:rPr>
      </w:pPr>
    </w:p>
    <w:p w14:paraId="334BFA67">
      <w:pPr>
        <w:spacing w:line="400" w:lineRule="exact"/>
        <w:jc w:val="center"/>
        <w:rPr>
          <w:rFonts w:ascii="方正小标宋_GBK" w:eastAsia="方正小标宋_GBK"/>
          <w:spacing w:val="-14"/>
          <w:w w:val="42"/>
        </w:rPr>
      </w:pPr>
    </w:p>
    <w:p w14:paraId="7D8C40FE">
      <w:pPr>
        <w:tabs>
          <w:tab w:val="left" w:pos="8690"/>
        </w:tabs>
        <w:spacing w:line="1600" w:lineRule="exact"/>
        <w:jc w:val="center"/>
        <w:rPr>
          <w:rFonts w:ascii="仿宋_GB2312"/>
          <w:b/>
          <w:bCs/>
          <w:color w:val="FF0000"/>
          <w:w w:val="45"/>
          <w:sz w:val="112"/>
          <w:szCs w:val="112"/>
        </w:rPr>
      </w:pPr>
      <w:r>
        <w:rPr>
          <w:rFonts w:hint="eastAsia" w:ascii="方正小标宋_GBK" w:eastAsia="方正小标宋_GBK"/>
          <w:b/>
          <w:bCs/>
          <w:color w:val="FF0000"/>
          <w:w w:val="45"/>
          <w:sz w:val="112"/>
          <w:szCs w:val="112"/>
        </w:rPr>
        <w:t>重庆市涪陵区人民政府荔枝街道办事处</w:t>
      </w:r>
    </w:p>
    <w:p w14:paraId="59BCB6E6">
      <w:pPr>
        <w:spacing w:line="480" w:lineRule="exact"/>
        <w:jc w:val="center"/>
        <w:rPr>
          <w:rFonts w:ascii="仿宋_GB2312"/>
        </w:rPr>
      </w:pPr>
    </w:p>
    <w:p w14:paraId="7DB477E7">
      <w:pPr>
        <w:spacing w:line="460" w:lineRule="exact"/>
        <w:jc w:val="center"/>
        <w:rPr>
          <w:rFonts w:ascii="仿宋_GB2312"/>
        </w:rPr>
      </w:pPr>
    </w:p>
    <w:p w14:paraId="46031ABA">
      <w:pPr>
        <w:tabs>
          <w:tab w:val="left" w:pos="316"/>
        </w:tabs>
        <w:jc w:val="center"/>
        <w:rPr>
          <w:rFonts w:hint="eastAsia" w:ascii="方正仿宋_GBK" w:eastAsia="方正楷体_GBK"/>
          <w:lang w:eastAsia="zh-CN"/>
        </w:rPr>
      </w:pPr>
      <w:r>
        <w:rPr>
          <w:rFonts w:hint="default" w:ascii="方正仿宋_GBK"/>
          <w:color w:val="000000"/>
          <w:lang w:val="en"/>
        </w:rPr>
        <w:t>涪陵</w:t>
      </w:r>
      <w:r>
        <w:rPr>
          <w:rFonts w:hint="eastAsia" w:ascii="方正仿宋_GBK"/>
          <w:color w:val="000000"/>
        </w:rPr>
        <w:t>荔枝办</w:t>
      </w:r>
      <w:r>
        <w:rPr>
          <w:rFonts w:hint="eastAsia" w:ascii="方正仿宋_GBK"/>
          <w:color w:val="000000"/>
          <w:lang w:eastAsia="zh-CN"/>
        </w:rPr>
        <w:t>发</w:t>
      </w:r>
      <w:r>
        <w:rPr>
          <w:rFonts w:hint="eastAsia" w:ascii="方正仿宋_GBK"/>
          <w:color w:val="000000"/>
        </w:rPr>
        <w:t>〔202</w:t>
      </w:r>
      <w:r>
        <w:rPr>
          <w:rFonts w:hint="eastAsia" w:ascii="方正仿宋_GBK"/>
          <w:color w:val="000000"/>
          <w:lang w:val="en-US" w:eastAsia="zh-CN"/>
        </w:rPr>
        <w:t>5</w:t>
      </w:r>
      <w:r>
        <w:rPr>
          <w:rFonts w:hint="eastAsia" w:ascii="方正仿宋_GBK"/>
          <w:color w:val="000000"/>
        </w:rPr>
        <w:t>〕</w:t>
      </w:r>
      <w:r>
        <w:rPr>
          <w:rFonts w:hint="eastAsia" w:ascii="方正仿宋_GBK"/>
          <w:color w:val="000000"/>
          <w:lang w:val="en-US" w:eastAsia="zh-CN"/>
        </w:rPr>
        <w:t>44</w:t>
      </w:r>
      <w:r>
        <w:rPr>
          <w:rFonts w:hint="eastAsia" w:ascii="方正仿宋_GBK"/>
          <w:color w:val="000000"/>
        </w:rPr>
        <w:t xml:space="preserve">号               </w:t>
      </w:r>
    </w:p>
    <w:p w14:paraId="3BE75367">
      <w:pPr>
        <w:jc w:val="center"/>
      </w:pPr>
      <w:r>
        <w:rPr>
          <w:rFonts w:ascii="黑体" w:eastAsia="黑体"/>
          <w:sz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615940" cy="0"/>
                <wp:effectExtent l="0" t="13970" r="3810" b="24130"/>
                <wp:wrapSquare wrapText="bothSides"/>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0pt;height:0pt;width:442.2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16MHRAAAA&#10;AgEAAA8AAAAAAAAAAQAgAAAAIgAAAGRycy9kb3ducmV2LnhtbFBLAQIUABQAAAAIAIdO4kA+hUaM&#10;6wEAANwDAAAOAAAAAAAAAAEAIAAAACABAABkcnMvZTJvRG9jLnhtbFBLBQYAAAAABgAGAFkBAAB9&#10;BQAAAAA=&#10;">
                <v:fill on="f" focussize="0,0"/>
                <v:stroke weight="2.25pt" color="#FF0000" joinstyle="round"/>
                <v:imagedata o:title=""/>
                <o:lock v:ext="edit" aspectratio="f"/>
                <w10:wrap type="square"/>
              </v:line>
            </w:pict>
          </mc:Fallback>
        </mc:AlternateContent>
      </w:r>
    </w:p>
    <w:p w14:paraId="6B6B2569">
      <w:pPr>
        <w:rPr>
          <w:rFonts w:ascii="方正小标宋_GBK" w:eastAsia="方正小标宋_GBK"/>
          <w:spacing w:val="-14"/>
          <w:w w:val="42"/>
        </w:rPr>
      </w:pPr>
    </w:p>
    <w:p w14:paraId="290E09C3">
      <w:pPr>
        <w:keepNext w:val="0"/>
        <w:keepLines w:val="0"/>
        <w:pageBreakBefore w:val="0"/>
        <w:kinsoku/>
        <w:wordWrap/>
        <w:overflowPunct/>
        <w:topLinePunct w:val="0"/>
        <w:autoSpaceDE/>
        <w:autoSpaceDN/>
        <w:bidi w:val="0"/>
        <w:adjustRightInd/>
        <w:snapToGrid w:val="0"/>
        <w:spacing w:afterAutospacing="0" w:line="600" w:lineRule="exact"/>
        <w:jc w:val="center"/>
        <w:textAlignment w:val="auto"/>
        <w:rPr>
          <w:rFonts w:ascii="方正小标宋_GBK" w:eastAsia="方正小标宋_GBK"/>
          <w:b w:val="0"/>
          <w:bCs w:val="0"/>
          <w:color w:val="000000"/>
          <w:sz w:val="44"/>
          <w:szCs w:val="44"/>
        </w:rPr>
      </w:pPr>
      <w:r>
        <w:rPr>
          <w:rFonts w:hint="eastAsia" w:ascii="方正小标宋_GBK" w:eastAsia="方正小标宋_GBK"/>
          <w:b w:val="0"/>
          <w:bCs w:val="0"/>
          <w:color w:val="000000"/>
          <w:sz w:val="44"/>
          <w:szCs w:val="44"/>
        </w:rPr>
        <w:t>重庆市涪陵区人民政府荔枝街道办事处</w:t>
      </w:r>
    </w:p>
    <w:p w14:paraId="45F24A20">
      <w:pPr>
        <w:keepNext w:val="0"/>
        <w:keepLines w:val="0"/>
        <w:pageBreakBefore w:val="0"/>
        <w:kinsoku/>
        <w:wordWrap/>
        <w:overflowPunct/>
        <w:topLinePunct w:val="0"/>
        <w:autoSpaceDE/>
        <w:autoSpaceDN/>
        <w:bidi w:val="0"/>
        <w:adjustRightInd/>
        <w:snapToGrid w:val="0"/>
        <w:spacing w:afterAutospacing="0" w:line="600" w:lineRule="exact"/>
        <w:jc w:val="center"/>
        <w:textAlignment w:val="auto"/>
        <w:rPr>
          <w:rFonts w:hint="eastAsia" w:ascii="方正小标宋_GBK" w:eastAsia="方正小标宋_GBK"/>
          <w:b w:val="0"/>
          <w:bCs w:val="0"/>
          <w:color w:val="000000"/>
          <w:sz w:val="44"/>
          <w:szCs w:val="44"/>
        </w:rPr>
      </w:pPr>
      <w:r>
        <w:rPr>
          <w:rFonts w:hint="eastAsia" w:ascii="方正小标宋_GBK" w:eastAsia="方正小标宋_GBK"/>
          <w:b w:val="0"/>
          <w:bCs w:val="0"/>
          <w:color w:val="000000"/>
          <w:sz w:val="44"/>
          <w:szCs w:val="44"/>
        </w:rPr>
        <w:t>关于印发《2025年</w:t>
      </w:r>
      <w:r>
        <w:rPr>
          <w:rFonts w:hint="eastAsia" w:ascii="方正小标宋_GBK" w:eastAsia="方正小标宋_GBK"/>
          <w:b w:val="0"/>
          <w:bCs w:val="0"/>
          <w:color w:val="000000"/>
          <w:sz w:val="44"/>
          <w:szCs w:val="44"/>
          <w:lang w:val="en-US" w:eastAsia="zh-CN"/>
        </w:rPr>
        <w:t>荔枝</w:t>
      </w:r>
      <w:r>
        <w:rPr>
          <w:rFonts w:hint="eastAsia" w:ascii="方正小标宋_GBK" w:eastAsia="方正小标宋_GBK"/>
          <w:b w:val="0"/>
          <w:bCs w:val="0"/>
          <w:color w:val="000000"/>
          <w:sz w:val="44"/>
          <w:szCs w:val="44"/>
        </w:rPr>
        <w:t>街道公共体育场地</w:t>
      </w:r>
    </w:p>
    <w:p w14:paraId="131FC4BF">
      <w:pPr>
        <w:keepNext w:val="0"/>
        <w:keepLines w:val="0"/>
        <w:pageBreakBefore w:val="0"/>
        <w:kinsoku/>
        <w:wordWrap/>
        <w:overflowPunct/>
        <w:topLinePunct w:val="0"/>
        <w:autoSpaceDE/>
        <w:autoSpaceDN/>
        <w:bidi w:val="0"/>
        <w:adjustRightInd/>
        <w:snapToGrid w:val="0"/>
        <w:spacing w:afterAutospacing="0" w:line="600" w:lineRule="exact"/>
        <w:jc w:val="center"/>
        <w:textAlignment w:val="auto"/>
        <w:rPr>
          <w:rFonts w:hint="eastAsia" w:ascii="方正小标宋_GBK" w:eastAsia="方正小标宋_GBK"/>
          <w:b w:val="0"/>
          <w:bCs w:val="0"/>
          <w:color w:val="000000"/>
          <w:sz w:val="44"/>
          <w:szCs w:val="44"/>
        </w:rPr>
      </w:pPr>
      <w:r>
        <w:rPr>
          <w:rFonts w:hint="eastAsia" w:ascii="方正小标宋_GBK" w:eastAsia="方正小标宋_GBK"/>
          <w:b w:val="0"/>
          <w:bCs w:val="0"/>
          <w:color w:val="000000"/>
          <w:sz w:val="44"/>
          <w:szCs w:val="44"/>
        </w:rPr>
        <w:t>免费开放方案》的通知</w:t>
      </w:r>
    </w:p>
    <w:p w14:paraId="1AB09F9B">
      <w:pPr>
        <w:keepNext w:val="0"/>
        <w:keepLines w:val="0"/>
        <w:pageBreakBefore w:val="0"/>
        <w:widowControl/>
        <w:kinsoku/>
        <w:wordWrap/>
        <w:overflowPunct/>
        <w:topLinePunct w:val="0"/>
        <w:autoSpaceDE/>
        <w:autoSpaceDN/>
        <w:bidi w:val="0"/>
        <w:adjustRightInd/>
        <w:snapToGrid/>
        <w:spacing w:afterAutospacing="0" w:line="560" w:lineRule="exact"/>
        <w:jc w:val="left"/>
        <w:textAlignment w:val="auto"/>
        <w:rPr>
          <w:rFonts w:ascii="方正仿宋_GBK" w:cs="宋体"/>
          <w:color w:val="000000"/>
          <w:kern w:val="0"/>
        </w:rPr>
      </w:pPr>
    </w:p>
    <w:p w14:paraId="7BEA04FA">
      <w:pPr>
        <w:keepNext w:val="0"/>
        <w:keepLines w:val="0"/>
        <w:pageBreakBefore w:val="0"/>
        <w:widowControl w:val="0"/>
        <w:kinsoku/>
        <w:wordWrap/>
        <w:overflowPunct/>
        <w:topLinePunct w:val="0"/>
        <w:autoSpaceDE/>
        <w:autoSpaceDN/>
        <w:bidi w:val="0"/>
        <w:adjustRightInd/>
        <w:spacing w:line="520" w:lineRule="exact"/>
        <w:textAlignment w:val="auto"/>
        <w:rPr>
          <w:rFonts w:ascii="方正仿宋_GBK"/>
          <w:szCs w:val="32"/>
        </w:rPr>
      </w:pPr>
      <w:r>
        <w:rPr>
          <w:rFonts w:hint="eastAsia" w:ascii="方正仿宋_GBK"/>
          <w:szCs w:val="32"/>
        </w:rPr>
        <w:t>各社区</w:t>
      </w:r>
      <w:r>
        <w:rPr>
          <w:rFonts w:hint="eastAsia" w:ascii="方正仿宋_GBK"/>
          <w:szCs w:val="32"/>
          <w:lang w:eastAsia="zh-CN"/>
        </w:rPr>
        <w:t>（</w:t>
      </w:r>
      <w:r>
        <w:rPr>
          <w:rFonts w:hint="eastAsia" w:ascii="方正仿宋_GBK"/>
          <w:szCs w:val="32"/>
          <w:lang w:val="en-US" w:eastAsia="zh-CN"/>
        </w:rPr>
        <w:t>村</w:t>
      </w:r>
      <w:r>
        <w:rPr>
          <w:rFonts w:hint="eastAsia" w:ascii="方正仿宋_GBK"/>
          <w:szCs w:val="32"/>
          <w:lang w:eastAsia="zh-CN"/>
        </w:rPr>
        <w:t>）</w:t>
      </w:r>
      <w:r>
        <w:rPr>
          <w:rFonts w:hint="eastAsia" w:ascii="方正仿宋_GBK"/>
          <w:szCs w:val="32"/>
        </w:rPr>
        <w:t>：</w:t>
      </w:r>
    </w:p>
    <w:p w14:paraId="6E933DE5">
      <w:pPr>
        <w:keepNext w:val="0"/>
        <w:keepLines w:val="0"/>
        <w:pageBreakBefore w:val="0"/>
        <w:widowControl w:val="0"/>
        <w:kinsoku/>
        <w:wordWrap/>
        <w:overflowPunct/>
        <w:topLinePunct w:val="0"/>
        <w:autoSpaceDE/>
        <w:autoSpaceDN/>
        <w:bidi w:val="0"/>
        <w:adjustRightInd/>
        <w:spacing w:line="520" w:lineRule="exact"/>
        <w:ind w:firstLine="630"/>
        <w:textAlignment w:val="auto"/>
        <w:rPr>
          <w:rFonts w:ascii="方正仿宋_GBK"/>
          <w:szCs w:val="32"/>
        </w:rPr>
      </w:pPr>
      <w:r>
        <w:rPr>
          <w:rFonts w:hint="eastAsia" w:ascii="方正仿宋_GBK"/>
          <w:szCs w:val="32"/>
        </w:rPr>
        <w:t>现将《2025年</w:t>
      </w:r>
      <w:r>
        <w:rPr>
          <w:rFonts w:hint="eastAsia" w:ascii="方正仿宋_GBK"/>
          <w:szCs w:val="32"/>
          <w:lang w:val="en-US" w:eastAsia="zh-CN"/>
        </w:rPr>
        <w:t>荔枝</w:t>
      </w:r>
      <w:r>
        <w:rPr>
          <w:rFonts w:hint="eastAsia" w:ascii="方正仿宋_GBK"/>
          <w:szCs w:val="32"/>
        </w:rPr>
        <w:t>街道公共体育场地免费开放方案》印发给你们，请认真贯彻落实。</w:t>
      </w:r>
    </w:p>
    <w:p w14:paraId="5747B36E">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方正仿宋_GBK" w:hAnsi="宋体" w:cs="宋体"/>
          <w:color w:val="000000"/>
          <w:kern w:val="0"/>
          <w:szCs w:val="32"/>
        </w:rPr>
      </w:pPr>
    </w:p>
    <w:p w14:paraId="3F3F5D2A">
      <w:pPr>
        <w:keepNext w:val="0"/>
        <w:keepLines w:val="0"/>
        <w:pageBreakBefore w:val="0"/>
        <w:widowControl w:val="0"/>
        <w:tabs>
          <w:tab w:val="left" w:pos="2592"/>
          <w:tab w:val="left" w:pos="2952"/>
        </w:tabs>
        <w:kinsoku/>
        <w:wordWrap/>
        <w:overflowPunct/>
        <w:topLinePunct w:val="0"/>
        <w:autoSpaceDE/>
        <w:autoSpaceDN/>
        <w:bidi w:val="0"/>
        <w:adjustRightInd/>
        <w:snapToGrid w:val="0"/>
        <w:spacing w:line="520" w:lineRule="exact"/>
        <w:ind w:right="640"/>
        <w:textAlignment w:val="auto"/>
        <w:rPr>
          <w:rFonts w:ascii="方正仿宋_GBK" w:hAnsi="宋体" w:cs="宋体"/>
          <w:color w:val="000000"/>
          <w:kern w:val="0"/>
          <w:szCs w:val="32"/>
        </w:rPr>
      </w:pPr>
    </w:p>
    <w:p w14:paraId="3D8BBCCA">
      <w:pPr>
        <w:keepNext w:val="0"/>
        <w:keepLines w:val="0"/>
        <w:pageBreakBefore w:val="0"/>
        <w:widowControl w:val="0"/>
        <w:tabs>
          <w:tab w:val="left" w:pos="2592"/>
          <w:tab w:val="left" w:pos="2952"/>
        </w:tabs>
        <w:kinsoku/>
        <w:wordWrap/>
        <w:overflowPunct/>
        <w:topLinePunct w:val="0"/>
        <w:autoSpaceDE/>
        <w:autoSpaceDN/>
        <w:bidi w:val="0"/>
        <w:adjustRightInd/>
        <w:snapToGrid w:val="0"/>
        <w:spacing w:line="520" w:lineRule="exact"/>
        <w:ind w:right="0"/>
        <w:jc w:val="right"/>
        <w:textAlignment w:val="auto"/>
        <w:rPr>
          <w:rFonts w:hint="eastAsia" w:ascii="方正仿宋_GBK" w:hAnsi="宋体" w:cs="宋体"/>
          <w:color w:val="000000"/>
          <w:kern w:val="0"/>
          <w:szCs w:val="32"/>
        </w:rPr>
      </w:pPr>
      <w:r>
        <w:rPr>
          <w:rFonts w:hint="eastAsia" w:ascii="方正仿宋_GBK" w:hAnsi="宋体" w:cs="宋体"/>
          <w:color w:val="000000"/>
          <w:kern w:val="0"/>
          <w:szCs w:val="32"/>
        </w:rPr>
        <w:t xml:space="preserve">                 重庆市涪陵区人民政府</w:t>
      </w:r>
      <w:r>
        <w:rPr>
          <w:rFonts w:hint="eastAsia" w:ascii="方正仿宋_GBK" w:hAnsi="宋体" w:cs="宋体"/>
          <w:color w:val="000000"/>
          <w:kern w:val="0"/>
          <w:szCs w:val="32"/>
          <w:lang w:val="en-US" w:eastAsia="zh-CN"/>
        </w:rPr>
        <w:t>荔枝</w:t>
      </w:r>
      <w:r>
        <w:rPr>
          <w:rFonts w:hint="eastAsia" w:ascii="方正仿宋_GBK" w:hAnsi="宋体" w:cs="宋体"/>
          <w:color w:val="000000"/>
          <w:kern w:val="0"/>
          <w:szCs w:val="32"/>
        </w:rPr>
        <w:t>街道办事处</w:t>
      </w:r>
    </w:p>
    <w:p w14:paraId="0D5904DF">
      <w:pPr>
        <w:keepNext w:val="0"/>
        <w:keepLines w:val="0"/>
        <w:pageBreakBefore w:val="0"/>
        <w:widowControl w:val="0"/>
        <w:tabs>
          <w:tab w:val="left" w:pos="2592"/>
          <w:tab w:val="left" w:pos="2952"/>
        </w:tabs>
        <w:kinsoku/>
        <w:wordWrap/>
        <w:overflowPunct/>
        <w:topLinePunct w:val="0"/>
        <w:autoSpaceDE/>
        <w:autoSpaceDN/>
        <w:bidi w:val="0"/>
        <w:adjustRightInd/>
        <w:snapToGrid w:val="0"/>
        <w:spacing w:line="520" w:lineRule="exact"/>
        <w:ind w:right="0"/>
        <w:jc w:val="center"/>
        <w:textAlignment w:val="auto"/>
        <w:rPr>
          <w:rFonts w:hint="eastAsia" w:ascii="方正仿宋_GBK" w:hAnsi="宋体" w:cs="宋体"/>
          <w:color w:val="000000"/>
          <w:kern w:val="0"/>
          <w:szCs w:val="32"/>
        </w:rPr>
      </w:pPr>
      <w:r>
        <w:rPr>
          <w:rFonts w:hint="eastAsia" w:ascii="方正仿宋_GBK" w:hAnsi="宋体" w:cs="宋体"/>
          <w:color w:val="000000"/>
          <w:kern w:val="0"/>
          <w:szCs w:val="32"/>
        </w:rPr>
        <w:t xml:space="preserve">                 </w:t>
      </w:r>
      <w:r>
        <w:rPr>
          <w:rFonts w:hint="eastAsia" w:ascii="方正仿宋_GBK" w:hAnsi="宋体" w:cs="宋体"/>
          <w:color w:val="000000"/>
          <w:kern w:val="0"/>
          <w:szCs w:val="32"/>
          <w:lang w:val="en-US" w:eastAsia="zh-CN"/>
        </w:rPr>
        <w:t xml:space="preserve">    </w:t>
      </w:r>
      <w:r>
        <w:rPr>
          <w:rFonts w:hint="eastAsia" w:ascii="方正仿宋_GBK" w:hAnsi="宋体" w:cs="宋体"/>
          <w:color w:val="000000"/>
          <w:kern w:val="0"/>
          <w:szCs w:val="32"/>
        </w:rPr>
        <w:t xml:space="preserve"> 2025年8月29日</w:t>
      </w:r>
    </w:p>
    <w:p w14:paraId="28624AAF">
      <w:pPr>
        <w:keepNext w:val="0"/>
        <w:keepLines w:val="0"/>
        <w:pageBreakBefore w:val="0"/>
        <w:widowControl w:val="0"/>
        <w:tabs>
          <w:tab w:val="left" w:pos="2592"/>
          <w:tab w:val="left" w:pos="2952"/>
        </w:tabs>
        <w:kinsoku/>
        <w:wordWrap/>
        <w:overflowPunct/>
        <w:topLinePunct w:val="0"/>
        <w:autoSpaceDE/>
        <w:autoSpaceDN/>
        <w:bidi w:val="0"/>
        <w:adjustRightInd/>
        <w:snapToGrid w:val="0"/>
        <w:spacing w:line="520" w:lineRule="exact"/>
        <w:ind w:right="640"/>
        <w:textAlignment w:val="auto"/>
        <w:rPr>
          <w:rFonts w:hint="eastAsia" w:ascii="方正小标宋_GBK" w:eastAsia="方正小标宋_GBK"/>
          <w:sz w:val="44"/>
          <w:szCs w:val="44"/>
        </w:rPr>
      </w:pPr>
      <w:r>
        <w:rPr>
          <w:rFonts w:hint="eastAsia" w:ascii="方正仿宋_GBK" w:hAnsi="宋体" w:cs="宋体"/>
          <w:color w:val="000000"/>
          <w:kern w:val="0"/>
          <w:szCs w:val="32"/>
        </w:rPr>
        <w:t xml:space="preserve">    （此件公开发布）</w:t>
      </w:r>
    </w:p>
    <w:p w14:paraId="3981933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eastAsia="方正小标宋_GBK"/>
          <w:sz w:val="44"/>
          <w:szCs w:val="44"/>
        </w:rPr>
      </w:pPr>
      <w:r>
        <w:rPr>
          <w:rFonts w:hint="eastAsia" w:ascii="方正小标宋_GBK" w:eastAsia="方正小标宋_GBK"/>
          <w:sz w:val="44"/>
          <w:szCs w:val="44"/>
        </w:rPr>
        <w:t>2025年</w:t>
      </w:r>
      <w:r>
        <w:rPr>
          <w:rFonts w:hint="eastAsia" w:ascii="方正小标宋_GBK" w:eastAsia="方正小标宋_GBK"/>
          <w:sz w:val="44"/>
          <w:szCs w:val="44"/>
          <w:lang w:val="en-US" w:eastAsia="zh-CN"/>
        </w:rPr>
        <w:t>荔枝</w:t>
      </w:r>
      <w:r>
        <w:rPr>
          <w:rFonts w:hint="eastAsia" w:ascii="方正小标宋_GBK" w:eastAsia="方正小标宋_GBK"/>
          <w:sz w:val="44"/>
          <w:szCs w:val="44"/>
        </w:rPr>
        <w:t>街道公共体育场地免费开放方案</w:t>
      </w:r>
    </w:p>
    <w:p w14:paraId="2A12C19D">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方正仿宋_GBK"/>
          <w:szCs w:val="32"/>
        </w:rPr>
      </w:pPr>
    </w:p>
    <w:p w14:paraId="3F05C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为贯彻落实《全民健身条例》，落实文化旅游委员会以及涪陵区财政局关于公共体育场地免费开放的有关文件精神，充分履行公共体育场地的服务职能，发挥社会公益作用，满足群众日益增长的体育需求，结合街道实际，现制定2025年</w:t>
      </w:r>
      <w:r>
        <w:rPr>
          <w:rFonts w:hint="eastAsia" w:ascii="方正仿宋_GBK"/>
          <w:szCs w:val="32"/>
          <w:lang w:val="en-US" w:eastAsia="zh-CN"/>
        </w:rPr>
        <w:t>荔枝</w:t>
      </w:r>
      <w:r>
        <w:rPr>
          <w:rFonts w:hint="eastAsia" w:ascii="方正仿宋_GBK"/>
          <w:szCs w:val="32"/>
        </w:rPr>
        <w:t>街道公共体育场地免费开放方案。</w:t>
      </w:r>
    </w:p>
    <w:p w14:paraId="12E1F267">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一、指导思想</w:t>
      </w:r>
    </w:p>
    <w:p w14:paraId="6ACD0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以习近平新时代中国特色社会主义思想为指导，坚持以人民为中心，把体育健身同人民健康结合起来，把弘扬中华体育精神同坚定文化自信结合起来，坚持举国体制和市场机制相结合上，培育和践行社会主义核心价值观，坚持体育发展之路，加快形成引领体育发展新常态的体制机制和发展方式，提高街道居民身体素质，满足居民对体育健身需求的新期待。</w:t>
      </w:r>
    </w:p>
    <w:p w14:paraId="37928294">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二</w:t>
      </w:r>
      <w:r>
        <w:rPr>
          <w:rFonts w:hint="eastAsia" w:ascii="方正黑体_GBK" w:hAnsi="方正黑体_GBK" w:eastAsia="方正黑体_GBK" w:cs="方正黑体_GBK"/>
          <w:sz w:val="32"/>
          <w:szCs w:val="32"/>
        </w:rPr>
        <w:t>、目</w:t>
      </w:r>
      <w:r>
        <w:rPr>
          <w:rFonts w:hint="eastAsia" w:ascii="黑体" w:hAnsi="黑体" w:eastAsia="黑体"/>
          <w:sz w:val="32"/>
          <w:szCs w:val="32"/>
        </w:rPr>
        <w:t>标任务</w:t>
      </w:r>
    </w:p>
    <w:p w14:paraId="69E71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szCs w:val="32"/>
        </w:rPr>
      </w:pPr>
      <w:r>
        <w:rPr>
          <w:rFonts w:hint="eastAsia" w:ascii="方正仿宋_GBK"/>
          <w:szCs w:val="32"/>
        </w:rPr>
        <w:t>让街道居民享受到高质量的场地环境，保证群众性健身和开放式的体育活动，制定相关免费开放场地的制度，配备相应数量的社会体育指导员，做好场地保障和服务工作，完善场地功能配套设施。</w:t>
      </w:r>
    </w:p>
    <w:p w14:paraId="78E79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方正仿宋_GBK" w:eastAsia="黑体"/>
          <w:szCs w:val="32"/>
          <w:lang w:eastAsia="zh-CN"/>
        </w:rPr>
        <w:t>三、</w:t>
      </w:r>
      <w:r>
        <w:rPr>
          <w:rFonts w:hint="eastAsia" w:ascii="黑体" w:hAnsi="黑体" w:eastAsia="黑体"/>
          <w:sz w:val="32"/>
          <w:szCs w:val="32"/>
        </w:rPr>
        <w:t>开放地点</w:t>
      </w:r>
    </w:p>
    <w:p w14:paraId="5EA15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街道各类公共体育设施，</w:t>
      </w:r>
      <w:r>
        <w:rPr>
          <w:rFonts w:ascii="方正仿宋_GBK" w:hAnsi="方正仿宋_GBK" w:cs="方正仿宋_GBK"/>
          <w:sz w:val="31"/>
          <w:szCs w:val="31"/>
        </w:rPr>
        <w:t>公共体育设施是指由各级政</w:t>
      </w:r>
      <w:r>
        <w:rPr>
          <w:rFonts w:hint="eastAsia" w:ascii="方正仿宋_GBK" w:hAnsi="方正仿宋_GBK" w:cs="方正仿宋_GBK"/>
          <w:sz w:val="31"/>
          <w:szCs w:val="31"/>
        </w:rPr>
        <w:t>府机关及事业单位使用政府财政资金建设；民营企业、民办学校、社会团体、基金会等其他组织机构出资建设，但享受政府财政资金建设运营补贴的体育设施。</w:t>
      </w:r>
    </w:p>
    <w:p w14:paraId="49D26B3D">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四、开放项目</w:t>
      </w:r>
    </w:p>
    <w:p w14:paraId="6F062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篮球、羽毛球、乒乓球、健身器材等。</w:t>
      </w:r>
    </w:p>
    <w:p w14:paraId="7E024DF1">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黑体" w:eastAsia="方正黑体_GBK"/>
          <w:sz w:val="32"/>
          <w:szCs w:val="32"/>
        </w:rPr>
      </w:pPr>
      <w:r>
        <w:rPr>
          <w:rFonts w:hint="eastAsia" w:ascii="方正黑体_GBK" w:hAnsi="黑体" w:eastAsia="方正黑体_GBK"/>
          <w:sz w:val="32"/>
          <w:szCs w:val="32"/>
        </w:rPr>
        <w:t>五、开放时间</w:t>
      </w:r>
    </w:p>
    <w:p w14:paraId="1BE71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（一）户外健身设施免费全天24小时对外开放。</w:t>
      </w:r>
    </w:p>
    <w:p w14:paraId="32E48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（二）露天场馆免费全天24小时对外开放。</w:t>
      </w:r>
    </w:p>
    <w:p w14:paraId="354334A0">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仿宋_GBK" w:eastAsia="方正仿宋_GBK"/>
          <w:sz w:val="32"/>
          <w:szCs w:val="32"/>
        </w:rPr>
      </w:pPr>
      <w:r>
        <w:rPr>
          <w:rFonts w:hint="eastAsia" w:ascii="方正仿宋_GBK" w:eastAsia="方正仿宋_GBK"/>
          <w:sz w:val="32"/>
          <w:szCs w:val="32"/>
        </w:rPr>
        <w:t>（三）室内场地：9：00—12：00、14：00—18：00</w:t>
      </w:r>
    </w:p>
    <w:p w14:paraId="48F49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szCs w:val="32"/>
        </w:rPr>
      </w:pPr>
      <w:r>
        <w:rPr>
          <w:rFonts w:hint="eastAsia" w:ascii="方正仿宋_GBK"/>
          <w:szCs w:val="32"/>
        </w:rPr>
        <w:t>除场地承接赛事活动日外，其余时间全部开放。</w:t>
      </w:r>
    </w:p>
    <w:p w14:paraId="5041B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eastAsia="方正仿宋_GBK"/>
          <w:szCs w:val="32"/>
          <w:lang w:val="en-US" w:eastAsia="zh-CN"/>
        </w:rPr>
      </w:pPr>
      <w:r>
        <w:rPr>
          <w:rFonts w:hint="eastAsia" w:ascii="方正仿宋_GBK"/>
          <w:szCs w:val="32"/>
          <w:lang w:eastAsia="zh-CN"/>
        </w:rPr>
        <w:t>（</w:t>
      </w:r>
      <w:r>
        <w:rPr>
          <w:rFonts w:hint="eastAsia" w:ascii="方正仿宋_GBK"/>
          <w:szCs w:val="32"/>
          <w:lang w:val="en-US" w:eastAsia="zh-CN"/>
        </w:rPr>
        <w:t>四</w:t>
      </w:r>
      <w:r>
        <w:rPr>
          <w:rFonts w:hint="eastAsia" w:ascii="方正仿宋_GBK"/>
          <w:szCs w:val="32"/>
          <w:lang w:eastAsia="zh-CN"/>
        </w:rPr>
        <w:t>）</w:t>
      </w:r>
      <w:r>
        <w:rPr>
          <w:rFonts w:hint="eastAsia" w:ascii="方正仿宋_GBK"/>
          <w:szCs w:val="32"/>
          <w:lang w:val="en-US" w:eastAsia="zh-CN"/>
        </w:rPr>
        <w:t>学校：周六、周日9：00—12：00、14：00—18：00</w:t>
      </w:r>
    </w:p>
    <w:p w14:paraId="64F15B05">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黑体" w:eastAsia="方正黑体_GBK"/>
          <w:sz w:val="32"/>
          <w:szCs w:val="32"/>
        </w:rPr>
      </w:pPr>
      <w:r>
        <w:rPr>
          <w:rFonts w:hint="eastAsia" w:ascii="方正黑体_GBK" w:hAnsi="黑体" w:eastAsia="方正黑体_GBK"/>
          <w:sz w:val="32"/>
          <w:szCs w:val="32"/>
        </w:rPr>
        <w:t>六、提供服务</w:t>
      </w:r>
    </w:p>
    <w:p w14:paraId="1C46781C">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仿宋_GBK" w:eastAsia="方正仿宋_GBK"/>
          <w:sz w:val="32"/>
          <w:szCs w:val="32"/>
        </w:rPr>
      </w:pPr>
      <w:r>
        <w:rPr>
          <w:rFonts w:hint="eastAsia" w:ascii="方正仿宋_GBK" w:eastAsia="方正仿宋_GBK"/>
          <w:sz w:val="32"/>
          <w:szCs w:val="32"/>
        </w:rPr>
        <w:t>（一）举办群众体育活动，包括体育比赛。</w:t>
      </w:r>
    </w:p>
    <w:p w14:paraId="7AB6FA6C">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仿宋_GBK" w:eastAsia="方正仿宋_GBK"/>
          <w:sz w:val="32"/>
          <w:szCs w:val="32"/>
        </w:rPr>
      </w:pPr>
      <w:r>
        <w:rPr>
          <w:rFonts w:hint="eastAsia" w:ascii="方正仿宋_GBK" w:eastAsia="方正仿宋_GBK"/>
          <w:sz w:val="32"/>
          <w:szCs w:val="32"/>
        </w:rPr>
        <w:t>（二）向运动爱好者免费开放健身房进行健身训练，邀请专业教练给予专业指导培训。</w:t>
      </w:r>
    </w:p>
    <w:p w14:paraId="650AC260">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仿宋_GBK" w:eastAsia="方正仿宋_GBK"/>
          <w:sz w:val="32"/>
          <w:szCs w:val="32"/>
        </w:rPr>
      </w:pPr>
      <w:r>
        <w:rPr>
          <w:rFonts w:hint="eastAsia" w:ascii="方正仿宋_GBK" w:eastAsia="方正仿宋_GBK"/>
          <w:sz w:val="32"/>
          <w:szCs w:val="32"/>
        </w:rPr>
        <w:t>（三）定期举办健康知识、健身运动展览宣传活动。</w:t>
      </w:r>
    </w:p>
    <w:p w14:paraId="1B8EC34A">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黑体" w:eastAsia="方正黑体_GBK"/>
          <w:sz w:val="32"/>
          <w:szCs w:val="32"/>
        </w:rPr>
      </w:pPr>
      <w:r>
        <w:rPr>
          <w:rFonts w:hint="eastAsia" w:ascii="方正黑体_GBK" w:hAnsi="黑体" w:eastAsia="方正黑体_GBK"/>
          <w:sz w:val="32"/>
          <w:szCs w:val="32"/>
        </w:rPr>
        <w:t>七、保障措施</w:t>
      </w:r>
    </w:p>
    <w:p w14:paraId="047FB481">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楷体_GBK" w:eastAsia="方正楷体_GBK" w:cs="Times New Roman"/>
          <w:sz w:val="32"/>
          <w:szCs w:val="32"/>
        </w:rPr>
      </w:pPr>
      <w:r>
        <w:rPr>
          <w:rFonts w:hint="eastAsia" w:ascii="方正楷体_GBK" w:eastAsia="方正楷体_GBK" w:cs="Times New Roman"/>
          <w:sz w:val="32"/>
          <w:szCs w:val="32"/>
        </w:rPr>
        <w:t>（一）建立开放服务公示制度</w:t>
      </w:r>
    </w:p>
    <w:p w14:paraId="1ED20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向街道居民公示免费开放具体开放项目、内容、时间；有突发事件例如：场地维修、赛事、天气等原因无法开放或者需要调整时间的，提前一周通过网站或者场地张贴通知等方式向居民公告。</w:t>
      </w:r>
    </w:p>
    <w:p w14:paraId="3869CD2A">
      <w:pPr>
        <w:pStyle w:val="25"/>
        <w:keepNext w:val="0"/>
        <w:keepLines w:val="0"/>
        <w:pageBreakBefore w:val="0"/>
        <w:widowControl w:val="0"/>
        <w:kinsoku/>
        <w:wordWrap/>
        <w:overflowPunct/>
        <w:topLinePunct w:val="0"/>
        <w:autoSpaceDE/>
        <w:autoSpaceDN/>
        <w:bidi w:val="0"/>
        <w:adjustRightInd/>
        <w:snapToGrid/>
        <w:spacing w:line="560" w:lineRule="exact"/>
        <w:ind w:firstLine="579" w:firstLineChars="181"/>
        <w:textAlignment w:val="auto"/>
        <w:rPr>
          <w:rFonts w:ascii="方正楷体_GBK" w:eastAsia="方正楷体_GBK" w:cs="Times New Roman"/>
          <w:sz w:val="32"/>
          <w:szCs w:val="32"/>
        </w:rPr>
      </w:pPr>
      <w:r>
        <w:rPr>
          <w:rFonts w:hint="eastAsia" w:ascii="方正楷体_GBK" w:eastAsia="方正楷体_GBK" w:cs="Times New Roman"/>
          <w:sz w:val="32"/>
          <w:szCs w:val="32"/>
        </w:rPr>
        <w:t>（二）完善基础设施</w:t>
      </w:r>
    </w:p>
    <w:p w14:paraId="5B7D2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确保各免费开放场地设施和条件达到开放要求，开放时间和方式设定科学，安全设施到位，水电、消防、应急设施配置合理、完善、定期维护。确保免费开放场地环境卫生良好，区域内交通顺畅、停车位统一规划，秩序整齐。</w:t>
      </w:r>
    </w:p>
    <w:p w14:paraId="75E63972">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方正楷体_GBK" w:eastAsia="方正楷体_GBK"/>
          <w:b/>
          <w:sz w:val="32"/>
          <w:szCs w:val="32"/>
        </w:rPr>
      </w:pPr>
      <w:r>
        <w:rPr>
          <w:rFonts w:hint="eastAsia" w:ascii="方正楷体_GBK" w:eastAsia="方正楷体_GBK" w:cs="Times New Roman"/>
          <w:sz w:val="32"/>
          <w:szCs w:val="32"/>
        </w:rPr>
        <w:t>（三）完善反馈评价</w:t>
      </w:r>
    </w:p>
    <w:p w14:paraId="64C40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定期开展群众意见反馈活动，与健身群众做好沟通交流工作，听取居民意见，接受居民监督，并切实加以改进，做好满意度调查工作。</w:t>
      </w:r>
    </w:p>
    <w:p w14:paraId="39FCFF05">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楷体_GBK" w:hAnsi="华文楷体" w:eastAsia="方正楷体_GBK"/>
          <w:b/>
          <w:sz w:val="32"/>
          <w:szCs w:val="32"/>
        </w:rPr>
      </w:pPr>
      <w:r>
        <w:rPr>
          <w:rFonts w:hint="eastAsia" w:ascii="方正楷体_GBK" w:hAnsi="华文楷体" w:eastAsia="方正楷体_GBK" w:cs="Times New Roman"/>
          <w:sz w:val="32"/>
          <w:szCs w:val="32"/>
        </w:rPr>
        <w:t>（四）做好安全保障工作</w:t>
      </w:r>
    </w:p>
    <w:p w14:paraId="2B8D1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制定应急预案，如遇突发事件能及时疏散健身居民；定期进行安全检查，做好场地监控工作，确保场地安全。</w:t>
      </w:r>
    </w:p>
    <w:p w14:paraId="620F0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p>
    <w:p w14:paraId="1A688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r>
        <w:rPr>
          <w:rFonts w:hint="eastAsia" w:ascii="方正仿宋_GBK"/>
          <w:szCs w:val="32"/>
        </w:rPr>
        <w:t>附件：</w:t>
      </w:r>
      <w:r>
        <w:rPr>
          <w:rFonts w:hint="eastAsia" w:ascii="方正仿宋_GBK" w:hAnsi="方正仿宋_GBK" w:cs="方正仿宋_GBK"/>
          <w:szCs w:val="32"/>
        </w:rPr>
        <w:t>2025年</w:t>
      </w:r>
      <w:r>
        <w:rPr>
          <w:rFonts w:hint="eastAsia" w:ascii="方正仿宋_GBK" w:hAnsi="方正仿宋_GBK" w:cs="方正仿宋_GBK"/>
          <w:szCs w:val="32"/>
          <w:lang w:val="en-US" w:eastAsia="zh-CN"/>
        </w:rPr>
        <w:t>荔枝</w:t>
      </w:r>
      <w:r>
        <w:rPr>
          <w:rFonts w:hint="eastAsia" w:ascii="方正仿宋_GBK" w:hAnsi="方正仿宋_GBK" w:cs="方正仿宋_GBK"/>
          <w:szCs w:val="32"/>
        </w:rPr>
        <w:t>街道公共体育设施免费开放表</w:t>
      </w:r>
    </w:p>
    <w:p w14:paraId="06A33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szCs w:val="32"/>
        </w:rPr>
      </w:pPr>
    </w:p>
    <w:p w14:paraId="51A33528">
      <w:pPr>
        <w:spacing w:line="560" w:lineRule="exact"/>
        <w:jc w:val="center"/>
        <w:rPr>
          <w:rFonts w:hint="eastAsia" w:ascii="方正小标宋_GBK" w:hAnsi="方正黑体_GBK" w:eastAsia="方正小标宋_GBK" w:cs="方正黑体_GBK"/>
          <w:sz w:val="44"/>
          <w:szCs w:val="44"/>
        </w:rPr>
      </w:pPr>
    </w:p>
    <w:p w14:paraId="690CF8F1">
      <w:pPr>
        <w:spacing w:line="560" w:lineRule="exact"/>
        <w:jc w:val="center"/>
        <w:rPr>
          <w:rFonts w:hint="eastAsia" w:ascii="方正小标宋_GBK" w:hAnsi="方正黑体_GBK" w:eastAsia="方正小标宋_GBK" w:cs="方正黑体_GBK"/>
          <w:sz w:val="44"/>
          <w:szCs w:val="44"/>
        </w:rPr>
      </w:pPr>
    </w:p>
    <w:p w14:paraId="33E3E283">
      <w:pPr>
        <w:spacing w:line="560" w:lineRule="exact"/>
        <w:jc w:val="center"/>
        <w:rPr>
          <w:rFonts w:hint="eastAsia" w:ascii="方正小标宋_GBK" w:hAnsi="方正黑体_GBK" w:eastAsia="方正小标宋_GBK" w:cs="方正黑体_GBK"/>
          <w:sz w:val="44"/>
          <w:szCs w:val="44"/>
        </w:rPr>
      </w:pPr>
    </w:p>
    <w:p w14:paraId="77D76F8B">
      <w:pPr>
        <w:spacing w:line="560" w:lineRule="exact"/>
        <w:jc w:val="center"/>
        <w:rPr>
          <w:rFonts w:hint="eastAsia" w:ascii="方正小标宋_GBK" w:hAnsi="方正黑体_GBK" w:eastAsia="方正小标宋_GBK" w:cs="方正黑体_GBK"/>
          <w:sz w:val="44"/>
          <w:szCs w:val="44"/>
        </w:rPr>
      </w:pPr>
    </w:p>
    <w:p w14:paraId="5BD49E3E">
      <w:pPr>
        <w:spacing w:line="560" w:lineRule="exact"/>
        <w:jc w:val="center"/>
        <w:rPr>
          <w:rFonts w:hint="eastAsia" w:ascii="方正小标宋_GBK" w:hAnsi="方正黑体_GBK" w:eastAsia="方正小标宋_GBK" w:cs="方正黑体_GBK"/>
          <w:sz w:val="44"/>
          <w:szCs w:val="44"/>
        </w:rPr>
      </w:pPr>
    </w:p>
    <w:p w14:paraId="268259B6">
      <w:pPr>
        <w:spacing w:line="560" w:lineRule="exact"/>
        <w:jc w:val="center"/>
        <w:rPr>
          <w:rFonts w:ascii="方正小标宋_GBK" w:hAnsi="方正黑体_GBK" w:eastAsia="方正小标宋_GBK" w:cs="方正黑体_GBK"/>
          <w:sz w:val="44"/>
          <w:szCs w:val="44"/>
        </w:rPr>
        <w:sectPr>
          <w:headerReference r:id="rId3" w:type="default"/>
          <w:footerReference r:id="rId4" w:type="default"/>
          <w:footerReference r:id="rId5" w:type="even"/>
          <w:pgSz w:w="11906" w:h="16838"/>
          <w:pgMar w:top="2098" w:right="1474" w:bottom="1985" w:left="1588" w:header="851" w:footer="1701" w:gutter="0"/>
          <w:pgNumType w:fmt="numberInDash"/>
          <w:cols w:space="425" w:num="1"/>
          <w:docGrid w:type="lines" w:linePitch="312" w:charSpace="0"/>
        </w:sectPr>
      </w:pPr>
    </w:p>
    <w:p w14:paraId="711E34DE">
      <w:pPr>
        <w:tabs>
          <w:tab w:val="left" w:pos="1008"/>
        </w:tabs>
        <w:spacing w:line="594" w:lineRule="exact"/>
        <w:rPr>
          <w:rFonts w:hint="eastAsia" w:ascii="方正黑体_GBK" w:hAnsi="方正小标宋_GBK" w:eastAsia="方正黑体_GBK" w:cs="方正小标宋_GBK"/>
          <w:szCs w:val="32"/>
        </w:rPr>
      </w:pPr>
      <w:r>
        <w:rPr>
          <w:rFonts w:hint="eastAsia" w:ascii="方正黑体_GBK" w:hAnsi="方正小标宋_GBK" w:eastAsia="方正黑体_GBK" w:cs="方正小标宋_GBK"/>
          <w:szCs w:val="32"/>
        </w:rPr>
        <w:t>附件</w:t>
      </w:r>
    </w:p>
    <w:p w14:paraId="4C03ABB3">
      <w:pPr>
        <w:spacing w:line="560" w:lineRule="exact"/>
        <w:jc w:val="center"/>
        <w:rPr>
          <w:rFonts w:hint="eastAsia" w:ascii="方正小标宋_GBK" w:hAnsi="方正黑体_GBK" w:eastAsia="方正小标宋_GBK" w:cs="方正黑体_GBK"/>
          <w:sz w:val="44"/>
          <w:szCs w:val="44"/>
        </w:rPr>
      </w:pPr>
    </w:p>
    <w:tbl>
      <w:tblPr>
        <w:tblStyle w:val="11"/>
        <w:tblW w:w="132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3909"/>
        <w:gridCol w:w="2415"/>
        <w:gridCol w:w="3225"/>
        <w:gridCol w:w="945"/>
        <w:gridCol w:w="825"/>
        <w:gridCol w:w="1184"/>
      </w:tblGrid>
      <w:tr w14:paraId="189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21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EF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2025年荔枝街道公共体育设施免费开放表</w:t>
            </w:r>
          </w:p>
        </w:tc>
      </w:tr>
      <w:tr w14:paraId="24C6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000000" w:sz="4" w:space="0"/>
              <w:left w:val="single" w:color="000000" w:sz="4" w:space="0"/>
              <w:bottom w:val="single" w:color="000000" w:sz="8" w:space="0"/>
              <w:right w:val="single" w:color="666666" w:sz="4" w:space="0"/>
            </w:tcBorders>
            <w:shd w:val="clear" w:color="auto" w:fill="auto"/>
            <w:noWrap/>
            <w:vAlign w:val="center"/>
          </w:tcPr>
          <w:p w14:paraId="74BACC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09" w:type="dxa"/>
            <w:tcBorders>
              <w:top w:val="single" w:color="000000" w:sz="4" w:space="0"/>
              <w:left w:val="single" w:color="666666" w:sz="4" w:space="0"/>
              <w:bottom w:val="single" w:color="000000" w:sz="8" w:space="0"/>
              <w:right w:val="single" w:color="666666" w:sz="4" w:space="0"/>
            </w:tcBorders>
            <w:shd w:val="clear" w:color="auto" w:fill="auto"/>
            <w:noWrap/>
            <w:vAlign w:val="center"/>
          </w:tcPr>
          <w:p w14:paraId="324358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设施名称</w:t>
            </w:r>
          </w:p>
        </w:tc>
        <w:tc>
          <w:tcPr>
            <w:tcW w:w="2415" w:type="dxa"/>
            <w:tcBorders>
              <w:top w:val="single" w:color="000000" w:sz="4" w:space="0"/>
              <w:left w:val="single" w:color="666666" w:sz="4" w:space="0"/>
              <w:bottom w:val="single" w:color="000000" w:sz="8" w:space="0"/>
              <w:right w:val="single" w:color="666666" w:sz="4" w:space="0"/>
            </w:tcBorders>
            <w:shd w:val="clear" w:color="auto" w:fill="auto"/>
            <w:noWrap/>
            <w:vAlign w:val="center"/>
          </w:tcPr>
          <w:p w14:paraId="21EA9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地点</w:t>
            </w:r>
          </w:p>
        </w:tc>
        <w:tc>
          <w:tcPr>
            <w:tcW w:w="3225" w:type="dxa"/>
            <w:tcBorders>
              <w:top w:val="single" w:color="000000" w:sz="4" w:space="0"/>
              <w:left w:val="single" w:color="666666" w:sz="4" w:space="0"/>
              <w:bottom w:val="single" w:color="000000" w:sz="8" w:space="0"/>
              <w:right w:val="single" w:color="666666" w:sz="4" w:space="0"/>
            </w:tcBorders>
            <w:shd w:val="clear" w:color="auto" w:fill="auto"/>
            <w:noWrap/>
            <w:vAlign w:val="center"/>
          </w:tcPr>
          <w:p w14:paraId="07E09D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权属单位名称</w:t>
            </w:r>
          </w:p>
        </w:tc>
        <w:tc>
          <w:tcPr>
            <w:tcW w:w="945" w:type="dxa"/>
            <w:tcBorders>
              <w:top w:val="single" w:color="000000" w:sz="4" w:space="0"/>
              <w:left w:val="single" w:color="666666" w:sz="4" w:space="0"/>
              <w:bottom w:val="single" w:color="000000" w:sz="8" w:space="0"/>
              <w:right w:val="single" w:color="666666" w:sz="4" w:space="0"/>
            </w:tcBorders>
            <w:shd w:val="clear" w:color="auto" w:fill="auto"/>
            <w:vAlign w:val="center"/>
          </w:tcPr>
          <w:p w14:paraId="6FF99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场地面积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825" w:type="dxa"/>
            <w:tcBorders>
              <w:top w:val="single" w:color="000000" w:sz="4" w:space="0"/>
              <w:left w:val="single" w:color="666666" w:sz="4" w:space="0"/>
              <w:bottom w:val="single" w:color="000000" w:sz="8" w:space="0"/>
              <w:right w:val="single" w:color="666666" w:sz="4" w:space="0"/>
            </w:tcBorders>
            <w:shd w:val="clear" w:color="auto" w:fill="auto"/>
            <w:vAlign w:val="center"/>
          </w:tcPr>
          <w:p w14:paraId="3A960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免开面积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1184" w:type="dxa"/>
            <w:tcBorders>
              <w:top w:val="single" w:color="000000" w:sz="4" w:space="0"/>
              <w:left w:val="single" w:color="666666" w:sz="4" w:space="0"/>
              <w:bottom w:val="single" w:color="000000" w:sz="8" w:space="0"/>
              <w:right w:val="single" w:color="000000" w:sz="4" w:space="0"/>
            </w:tcBorders>
            <w:shd w:val="clear" w:color="auto" w:fill="auto"/>
            <w:noWrap/>
            <w:vAlign w:val="center"/>
          </w:tcPr>
          <w:p w14:paraId="5F583F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免费开放方式</w:t>
            </w:r>
          </w:p>
        </w:tc>
      </w:tr>
      <w:tr w14:paraId="7F4F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000000" w:sz="8" w:space="0"/>
              <w:left w:val="single" w:color="000000" w:sz="4" w:space="0"/>
              <w:bottom w:val="single" w:color="666666" w:sz="4" w:space="0"/>
              <w:right w:val="single" w:color="666666" w:sz="4" w:space="0"/>
            </w:tcBorders>
            <w:shd w:val="clear" w:color="auto" w:fill="auto"/>
            <w:vAlign w:val="center"/>
          </w:tcPr>
          <w:p w14:paraId="502EE6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9" w:type="dxa"/>
            <w:tcBorders>
              <w:top w:val="single" w:color="000000" w:sz="8" w:space="0"/>
              <w:left w:val="single" w:color="666666" w:sz="4" w:space="0"/>
              <w:bottom w:val="single" w:color="666666" w:sz="4" w:space="0"/>
              <w:right w:val="single" w:color="666666" w:sz="4" w:space="0"/>
            </w:tcBorders>
            <w:shd w:val="clear" w:color="auto" w:fill="auto"/>
            <w:vAlign w:val="center"/>
          </w:tcPr>
          <w:p w14:paraId="083515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重庆市人民检察院涪陵第三分院住宅小区活动中心左侧篮球场</w:t>
            </w:r>
          </w:p>
        </w:tc>
        <w:tc>
          <w:tcPr>
            <w:tcW w:w="2415" w:type="dxa"/>
            <w:tcBorders>
              <w:top w:val="single" w:color="000000" w:sz="8" w:space="0"/>
              <w:left w:val="single" w:color="666666" w:sz="4" w:space="0"/>
              <w:bottom w:val="single" w:color="666666" w:sz="4" w:space="0"/>
              <w:right w:val="single" w:color="666666" w:sz="4" w:space="0"/>
            </w:tcBorders>
            <w:shd w:val="clear" w:color="auto" w:fill="auto"/>
            <w:noWrap/>
            <w:vAlign w:val="center"/>
          </w:tcPr>
          <w:p w14:paraId="45F8C2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太极大道63号</w:t>
            </w:r>
          </w:p>
        </w:tc>
        <w:tc>
          <w:tcPr>
            <w:tcW w:w="3225" w:type="dxa"/>
            <w:tcBorders>
              <w:top w:val="single" w:color="000000" w:sz="8" w:space="0"/>
              <w:left w:val="single" w:color="666666" w:sz="4" w:space="0"/>
              <w:bottom w:val="single" w:color="666666" w:sz="4" w:space="0"/>
              <w:right w:val="single" w:color="666666" w:sz="4" w:space="0"/>
            </w:tcBorders>
            <w:shd w:val="clear" w:color="auto" w:fill="auto"/>
            <w:vAlign w:val="center"/>
          </w:tcPr>
          <w:p w14:paraId="61EF01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重庆市人民检察院第三分院</w:t>
            </w:r>
          </w:p>
        </w:tc>
        <w:tc>
          <w:tcPr>
            <w:tcW w:w="945" w:type="dxa"/>
            <w:tcBorders>
              <w:top w:val="single" w:color="000000" w:sz="8" w:space="0"/>
              <w:left w:val="single" w:color="666666" w:sz="4" w:space="0"/>
              <w:bottom w:val="single" w:color="666666" w:sz="4" w:space="0"/>
              <w:right w:val="single" w:color="666666" w:sz="4" w:space="0"/>
            </w:tcBorders>
            <w:shd w:val="clear" w:color="auto" w:fill="auto"/>
            <w:noWrap/>
            <w:vAlign w:val="center"/>
          </w:tcPr>
          <w:p w14:paraId="261A88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000000" w:sz="8" w:space="0"/>
              <w:left w:val="single" w:color="666666" w:sz="4" w:space="0"/>
              <w:bottom w:val="single" w:color="666666" w:sz="4" w:space="0"/>
              <w:right w:val="single" w:color="666666" w:sz="4" w:space="0"/>
            </w:tcBorders>
            <w:shd w:val="clear" w:color="auto" w:fill="auto"/>
            <w:noWrap/>
            <w:vAlign w:val="center"/>
          </w:tcPr>
          <w:p w14:paraId="0A40FD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000000" w:sz="8" w:space="0"/>
              <w:left w:val="single" w:color="666666" w:sz="4" w:space="0"/>
              <w:bottom w:val="single" w:color="666666" w:sz="4" w:space="0"/>
              <w:right w:val="single" w:color="000000" w:sz="4" w:space="0"/>
            </w:tcBorders>
            <w:shd w:val="clear" w:color="auto" w:fill="auto"/>
            <w:noWrap/>
            <w:vAlign w:val="center"/>
          </w:tcPr>
          <w:p w14:paraId="115D76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4A3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D553F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55C01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重庆市涪陵区南湖公园</w:t>
            </w:r>
            <w:r>
              <w:rPr>
                <w:rFonts w:hint="eastAsia" w:ascii="方正仿宋_GBK" w:hAnsi="方正仿宋_GBK" w:cs="方正仿宋_GBK"/>
                <w:i w:val="0"/>
                <w:iCs w:val="0"/>
                <w:color w:val="000000"/>
                <w:kern w:val="0"/>
                <w:sz w:val="22"/>
                <w:szCs w:val="22"/>
                <w:u w:val="none"/>
                <w:lang w:val="en-US" w:eastAsia="zh-CN" w:bidi="ar"/>
              </w:rPr>
              <w:t>乒乓</w:t>
            </w:r>
            <w:bookmarkStart w:id="0" w:name="_GoBack"/>
            <w:bookmarkEnd w:id="0"/>
            <w:r>
              <w:rPr>
                <w:rFonts w:hint="eastAsia" w:ascii="方正仿宋_GBK" w:hAnsi="方正仿宋_GBK" w:eastAsia="方正仿宋_GBK" w:cs="方正仿宋_GBK"/>
                <w:i w:val="0"/>
                <w:iCs w:val="0"/>
                <w:color w:val="000000"/>
                <w:kern w:val="0"/>
                <w:sz w:val="22"/>
                <w:szCs w:val="22"/>
                <w:u w:val="none"/>
                <w:lang w:val="en-US" w:eastAsia="zh-CN" w:bidi="ar"/>
              </w:rPr>
              <w:t>球场湖边</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CF3DA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宏声大道19号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63F49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重庆市涪陵区园林绿化管理处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66FDB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BAC0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4A7A6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1A1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F8F0A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FBDDC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重庆市涪陵区南湖公园篮球场湖边</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03854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宏声大道19号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5C39D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重庆市涪陵区园林绿化管理处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C1AA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71636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0DA2E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E0B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F908A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162D4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重庆市涪陵区南湖公园网球场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1D1E6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宏声大道19号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F97A1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重庆市涪陵区园林绿化管理处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B5857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AB9DB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EA21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684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A6642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50BE3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涪陵区教委小区乒乓球馆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FEE9B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乌宝路3号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EA476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重庆市涪陵康居物业管理有限公司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6E6D8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20F85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E8CD2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861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E0799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B4B82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涪陵区荔枝街道办事处稻香社区居民委员会-乒乓球场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33CB8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太极大道68号附8号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C376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涪陵区荔枝街道办事处稻香社区居民委员会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A2BC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3964A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44F02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367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BF894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67ED1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涪陵区荔枝街道办事处稻香社区居民委员会-乒乓球场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4BFCA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太极大道68号附8号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BC4E9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涪陵区荔枝街道办事处稻香社区居民委员会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2E8A7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59</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FB623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59</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5D200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C7A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6D31C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96C95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涪陵区荔枝街道荷香村篮球场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CA11E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6DC8B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重庆市涪陵区荔枝街道办事处荷香村村民委员会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519D2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41E8C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F8E62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754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17FC0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D972D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重庆市涪陵城区实验小学校（天湖校区）篮球一场教学楼正前方减少</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7B8D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宏声大道43号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BC72F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D03F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CF064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EC2CA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BF8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DC1D6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9B0A8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重庆市涪陵区望涪社区乒乓球馆办公室3楼</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D06A0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A0D19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重庆市涪陵区荔枝街道办事处望涪社区居民委员会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FC9D4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83587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A506A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D56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CF05B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B990C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重庆市涪陵区荔枝街道办事处望涪社区居民委员会-乒乓球场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BC75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E2828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重庆市涪陵区荔枝街道办事处望涪社区居民委员会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46A43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4595E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641FD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173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BA6F2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08F07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重庆市涪陵区荔枝街道办事处望涪社区居民委员会-三人制篮球场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7441E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EDB67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重庆市涪陵区荔枝街道办事处望涪社区居民委员会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B3408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237</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F5038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237</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48EE5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118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F0B83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30E6F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重庆市涪陵区荔枝街道办事处小溪村村民委员会-篮球场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BE81F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8BEAA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重庆市涪陵区荔枝街道办事处小溪村村民委员会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56BAE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F1357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80A17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64F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4C54F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C4F5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重庆市涪陵区荔枝街道办事处体育场-五人制足球馆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BAE96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2D3E8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C7C9F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1F2F8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99908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C4C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BF7F9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00CD2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长运花园2区-乒乓球场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6030F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BA4E1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重庆市涪陵区敦仁街道移民小区管理委员会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9662F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18562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A2B48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2C0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BC7AD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B691B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长运花园2区-羽毛球场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B2EC5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C958C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重庆市涪陵区敦仁街道移民小区管理委员会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32693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0BB07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F2845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98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10ECC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EE60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重庆市涪陵区敦仁街道移民小区管理委员会文化广场右侧乒乓球场(新增)</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4F95A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5DD3C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重庆市涪陵区敦仁街道移民小区管理委员会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5725C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294</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AA6CB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294</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5E0A5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27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E6044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1BE8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重庆市涪陵区敦仁街道移民小区文化广场左侧篮球场（新增）</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2A17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39704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重庆市涪陵区敦仁街道移民小区管理委员会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8790F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44A1A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72B48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6D9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52B9A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3C7D8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建涪社区综合文化服务中心办公室</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27C6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广场路56号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EF556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重庆市涪陵区荔枝街道建涪社区居民委员会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80270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CB14B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EBE98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ACA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A11E5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3B0B2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中共重庆市涪陵区委办公室右侧室外400米篮球场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3EE7D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太极大道71号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F5287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中共重庆市涪陵区委办公室</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7FEE5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967D4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C20C0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85C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ED444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9C0C0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之江名苑-乒乓球场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64600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顺江大道25号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F74F5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成都德昌行物业服务有限公司重庆涪陵分公司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C5004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7DC28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D5206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652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E857D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BE401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成都德昌行物业服务有限公司重庆涪陵分公司-篮球场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54EC3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顺江大道25号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F9EC2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成都德昌行物业服务有限公司重庆涪陵分公司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DC13E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1094</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489F8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1094</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CBE02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B21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86200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50A1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成都德昌行物业服务有限公司重庆涪陵分公司-乒乓球场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3EF3D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顺江大道25号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0CD07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成都德昌行物业服务有限公司重庆涪陵分公司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C812B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93</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BFE6D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93</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AEDE2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D4D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39AE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F38E8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重庆市涪陵区春晓丽景1栋旁-乒乓球场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866FF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顺江大道62号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2F1CE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重庆市涪陵区荔枝街道顺江社区居民委员会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DBC77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B8AD5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08C89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EC8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DB20A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106F4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重庆市涪陵区春晓丽景-羽毛球场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3834A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顺江大道62号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F4E87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重庆市涪陵区荔枝街道顺江社区居民委员会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44DA3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C402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12284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71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A7DDE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435D4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重庆市涪陵区体育产业发展有限公司青年广场乒乓球场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5B5DB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9E0B1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重庆市涪陵体育产业发展有限公司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FCBBE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FE8F0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A20BD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507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E7F78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06355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重庆市涪陵区体育产业发展有限公司青年广场羽毛球场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4C9F8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5B185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重庆市涪陵体育产业发展有限公司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85E47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ABD9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6A0D8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2E1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1494B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A79F0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重庆市涪陵区体育产业发展有限公司青年广场篮球场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CCB58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C451F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重庆市涪陵体育产业发展有限公司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0BB1D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1216</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B7626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1216</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DEB65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2DF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0C4B4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2BF15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重庆市涪陵区体育产业发展有限公司青年广场网球场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21EC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8E508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重庆市涪陵体育产业发展有限公司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A60A8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1136</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7F8CE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1136</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1E548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F8B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ED4AD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71AF9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东丰村村委会办公室后面</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E78C7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金桂园3号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37059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重庆市涪陵区荔枝街道东丰村村民委员会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B0A1B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2A393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B38E7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D65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246CE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5887F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重庆市涪陵区新万泉小区乒乓球场小区3单元楼下</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96258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74号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F9A2A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重庆市荔枝林强物业管理有限公司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86CDB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E0B64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AA6D1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4EF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11E5F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39DFF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重庆雅仕物业服务有限公司重庆市涪陵区新鹤鸣花园篮球场小区6栋楼下</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3EB34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47号附3号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D9F46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重庆雅仕物业服务有限公司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C2C26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8595E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26265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338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7B101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CFF6E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新加坡花园1栋架空层-乒乓球场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C8542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74452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重庆锋泛物业管理有限公司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031D8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07EBA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19FCE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7E05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3BBE9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F7310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重庆锋泛物业管理有限公司-羽毛球场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07485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D1160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重庆锋泛物业管理有限公司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56AA3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F8C4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937B7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785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AEC6D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431DE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重庆锋泛物业管理有限公司-网球场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83F92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EFE41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重庆锋泛物业管理有限公司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47418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1571C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A4B9B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B2B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80F91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C6D79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重庆市涪陵区荔枝街道鹅颈关村村民委员会篮球场办公室下侧</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EA073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6A222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重庆市涪陵区荔枝街道鹅颈关村村民委员会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A4893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4882E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0C82A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DE0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3134C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C84BB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御景佳苑</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F5CC2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黎明路72号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F3880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重庆市捷佳物业服务有限公司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7FC7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1D41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923B1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CBD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2419D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B619F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重庆市荔枝林强物业管理有限公司-乒乓球场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4320B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黎明路82号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772DD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重庆市荔枝林强物业管理有限公司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A91A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26151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E1514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ED9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D483A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B80DB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海陵花园羽毛球场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2E071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黎明南路9号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4F24B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重庆市涪陵区荔枝街道黎明社区居民委员会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0908C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B7C5F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41AE1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4CD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D6056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BBD9B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海陵花园乒乓球场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6F1F8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黎明南路9号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D8085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重庆市涪陵区荔枝街道黎明社区居民委员会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089DA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0AEF1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6CE91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070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1193A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AC546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重庆市涪陵区幼儿园鹤鸣分园-篮球场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88224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太极大道69号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B7BF6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重庆市涪陵区幼儿园鹤鸣分园</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B08DF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A14AD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5A702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F1B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5C1C4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D105E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866D2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EC0AF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F2F9F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395ED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B2C03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38E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7BEF4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0969F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E15A9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04121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CBB11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5CA44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14D1D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20C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EDB0B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398C1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FCCDE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04131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重庆市涪陵区荔枝街道蒿枝坝村村民委员会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9B36B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EE1B0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2D75E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ACD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19F27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6B33C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涪陵区荔枝街道方坪村村民委员会-羽毛球场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45CDC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2组</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9B60E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涪陵区荔枝街道方坪村村民委员会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817B9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8A16A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5C469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087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EC168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E1044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重庆市涪陵区人民政府荔枝街道办事处-篮球场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35F50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9BA7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F150D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1906</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4B9C1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1906</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145B1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CE5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81CC2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2A0BD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49A1F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AE3F2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688F5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91</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8CDDB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91</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04AC0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129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A7F2E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261D9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DCDB6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610C9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重庆市涪陵区人民政府荔枝街道办事处</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529B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294</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E13DF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294</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B63E9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E3B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57B77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C439B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顺园公馆2栋架空层-乒乓球场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50230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顺园路18号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750AB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辽宁澳海物业管理有限公司涪陵一分公司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519DC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3A775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977EC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207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D6C98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7F27D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顺园公馆1栋架空层-乒乓球场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497BE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顺园路18号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95B4A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辽宁澳海物业管理有限公司涪陵一分公司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94F6F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525A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ABE66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BB8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3D3E1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34F44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重庆市涪陵区望江社区-羽毛球场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58DD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07539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5FC69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44D32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AE459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FB9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5ED0A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542C5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望州公园-羽毛球场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4A620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A0324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907AE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FB4B2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D727E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41B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246B0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5141C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望州公园-乒乓球场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735A6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D1898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C3506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B225F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6C587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5FB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771D8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52ABE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望州公园-羽毛球场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E66BE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F219A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95477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5F4A1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B1EF8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886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645E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74C1E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望州公园-乒乓球场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2583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51162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1D1EC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340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87325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340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71164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E39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DA27F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D4208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重庆市涪陵区望江社区-乒乓球场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C00E0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8500A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7B1F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D193C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FF570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623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0804E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F283A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望州公园-乒乓球场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27F3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宏声大道35号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E4187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重庆市涪陵区荔枝街道大塘社区居民委员会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71E70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4E5B2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5C6AC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2E2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D8093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D4EB9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金科物业服务集团有限公司涪陵分公司-乒乓球场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8F9C3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A</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F649A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金科物业服务集团有限公司涪陵分公司</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B2928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106</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75D44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106</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786AE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5C5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617B4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AFD6C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重庆市涪陵区荔枝街道龙湾社区居民委员会-羽毛球场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63F3B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A</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F64D6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重庆市涪陵区荔枝街道龙湾社区居民委员会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A3420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5683E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305A3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49F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7E88F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39BBD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涪陵区审计中心-羽毛球场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9C5E3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太极大道87号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225C0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涪陵区审计中心</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D253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5D9A5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332AD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432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F123F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7AC45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重庆市涪陵城区实验小学校（天湖校区）乒乓球场主教学楼东南方</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E8A22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宏声大道43号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DA186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9333C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235</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70063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235</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C4A5D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D2E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E74A9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E4B62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F6A85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兴华中路41号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1A7E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重庆市涪陵区体育馆</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CC850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597</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D8DEE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597</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457F1B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22E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2FBD4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2C780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重庆市涪陵城区实验小学校天湖校区小运动场教学楼正前方</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02873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宏声大道43号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56251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68E9B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3792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587EA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3792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31587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013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4DD773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73E53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重庆市涪陵城区实验小学校天湖校区小运动场教学楼正前方</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8E0B8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宏声大道43号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0FF11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578ED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BFDAB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FEE30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081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DAC44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AF5A9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C0B66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AFBD4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5BB1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7076</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C4201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7076</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F65DC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6CB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B2D04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9E4CE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44A6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50D80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CC3AF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7140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8268C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7140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DE9D4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559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CD2DB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B1B5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C1B81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5E629A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83202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F1B42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8EB39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D74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9EC22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3F6AB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6CC4F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CFB5D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ABE46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7594C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70F4C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767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C1C47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931CD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6354C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体育南路1号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98D5D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32BF5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DC2E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6B7507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141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3A383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37CC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CEB80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4687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3037F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0E8C7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8367B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B18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78700B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AC131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68C76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F1251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44ADA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343D0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6D46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17B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21CD43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7110E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9E76F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1227E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73EC7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FF7C7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362587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2182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E2EDB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0BEC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F8ED1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1B46B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D2412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E9E89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D2E37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639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573F92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AFE51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9BC13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096F7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188AB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9D220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85268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530E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5D447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C7406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重庆市涪陵区门球协会门球场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76821F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太极大道19号附20号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D723E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重庆市涪陵区门球协会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1F160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39494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2A10AC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31E4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6227C9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D675E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EF2E0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兴华中路41号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F05EB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重庆市涪陵区体育馆</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6A632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1012</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6954A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1012</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ED6E2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14A5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25C6F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7612DF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9BE06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兴华中路41号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D612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重庆市涪陵区体育馆</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D89ED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2007</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9E4E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2007</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5B2532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FBE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AA93A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EC4E4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61094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兴华中路41号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EACC6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重庆市涪陵区体育馆</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591F3E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711</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4B625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711</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1C5873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831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0A2A8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6B938D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涪陵区体育馆</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395EC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兴华中路41号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3F77A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重庆市涪陵区体育馆</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36D78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688</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A59FC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688</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A7C78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44DD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1D47A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2D66A9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重庆市涪陵城区实验小学校天湖校区-小运动场</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39CE37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宏声大道43号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F5813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重庆市涪陵城区实验小学校（天湖校区）</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EC1A5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F4510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7E6824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6E63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666666" w:sz="4" w:space="0"/>
              <w:right w:val="single" w:color="666666" w:sz="4" w:space="0"/>
            </w:tcBorders>
            <w:shd w:val="clear" w:color="auto" w:fill="auto"/>
            <w:vAlign w:val="center"/>
          </w:tcPr>
          <w:p w14:paraId="37E762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909" w:type="dxa"/>
            <w:tcBorders>
              <w:top w:val="single" w:color="666666" w:sz="4" w:space="0"/>
              <w:left w:val="single" w:color="666666" w:sz="4" w:space="0"/>
              <w:bottom w:val="single" w:color="666666" w:sz="4" w:space="0"/>
              <w:right w:val="single" w:color="666666" w:sz="4" w:space="0"/>
            </w:tcBorders>
            <w:shd w:val="clear" w:color="auto" w:fill="auto"/>
            <w:vAlign w:val="center"/>
          </w:tcPr>
          <w:p w14:paraId="4358AB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重庆市涪陵区交通委员会健身房办公室2楼（新增）</w:t>
            </w:r>
          </w:p>
        </w:tc>
        <w:tc>
          <w:tcPr>
            <w:tcW w:w="241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21124D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47号</w:t>
            </w:r>
          </w:p>
        </w:tc>
        <w:tc>
          <w:tcPr>
            <w:tcW w:w="3225" w:type="dxa"/>
            <w:tcBorders>
              <w:top w:val="single" w:color="666666" w:sz="4" w:space="0"/>
              <w:left w:val="single" w:color="666666" w:sz="4" w:space="0"/>
              <w:bottom w:val="single" w:color="666666" w:sz="4" w:space="0"/>
              <w:right w:val="single" w:color="666666" w:sz="4" w:space="0"/>
            </w:tcBorders>
            <w:shd w:val="clear" w:color="auto" w:fill="auto"/>
            <w:vAlign w:val="center"/>
          </w:tcPr>
          <w:p w14:paraId="15EFE9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重庆市涪陵区交通委员会</w:t>
            </w:r>
          </w:p>
        </w:tc>
        <w:tc>
          <w:tcPr>
            <w:tcW w:w="94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0D048B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200</w:t>
            </w:r>
          </w:p>
        </w:tc>
        <w:tc>
          <w:tcPr>
            <w:tcW w:w="825" w:type="dxa"/>
            <w:tcBorders>
              <w:top w:val="single" w:color="666666" w:sz="4" w:space="0"/>
              <w:left w:val="single" w:color="666666" w:sz="4" w:space="0"/>
              <w:bottom w:val="single" w:color="666666" w:sz="4" w:space="0"/>
              <w:right w:val="single" w:color="666666" w:sz="4" w:space="0"/>
            </w:tcBorders>
            <w:shd w:val="clear" w:color="auto" w:fill="auto"/>
            <w:noWrap/>
            <w:vAlign w:val="center"/>
          </w:tcPr>
          <w:p w14:paraId="169220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200</w:t>
            </w:r>
          </w:p>
        </w:tc>
        <w:tc>
          <w:tcPr>
            <w:tcW w:w="1184" w:type="dxa"/>
            <w:tcBorders>
              <w:top w:val="single" w:color="666666" w:sz="4" w:space="0"/>
              <w:left w:val="single" w:color="666666" w:sz="4" w:space="0"/>
              <w:bottom w:val="single" w:color="666666" w:sz="4" w:space="0"/>
              <w:right w:val="single" w:color="000000" w:sz="4" w:space="0"/>
            </w:tcBorders>
            <w:shd w:val="clear" w:color="auto" w:fill="auto"/>
            <w:noWrap/>
            <w:vAlign w:val="center"/>
          </w:tcPr>
          <w:p w14:paraId="04D7CD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全开放式</w:t>
            </w:r>
          </w:p>
        </w:tc>
      </w:tr>
      <w:tr w14:paraId="0272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7" w:type="dxa"/>
            <w:tcBorders>
              <w:top w:val="single" w:color="666666" w:sz="4" w:space="0"/>
              <w:left w:val="single" w:color="000000" w:sz="4" w:space="0"/>
              <w:bottom w:val="single" w:color="000000" w:sz="4" w:space="0"/>
              <w:right w:val="single" w:color="666666" w:sz="4" w:space="0"/>
            </w:tcBorders>
            <w:shd w:val="clear" w:color="auto" w:fill="auto"/>
            <w:vAlign w:val="center"/>
          </w:tcPr>
          <w:p w14:paraId="3AF2EB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3909" w:type="dxa"/>
            <w:tcBorders>
              <w:top w:val="single" w:color="666666" w:sz="4" w:space="0"/>
              <w:left w:val="single" w:color="666666" w:sz="4" w:space="0"/>
              <w:bottom w:val="single" w:color="000000" w:sz="4" w:space="0"/>
              <w:right w:val="single" w:color="666666" w:sz="4" w:space="0"/>
            </w:tcBorders>
            <w:shd w:val="clear" w:color="auto" w:fill="auto"/>
            <w:vAlign w:val="center"/>
          </w:tcPr>
          <w:p w14:paraId="095CCE49">
            <w:pPr>
              <w:keepNext w:val="0"/>
              <w:keepLines w:val="0"/>
              <w:pageBreakBefore w:val="0"/>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i w:val="0"/>
                <w:iCs w:val="0"/>
                <w:color w:val="000000"/>
                <w:sz w:val="22"/>
                <w:szCs w:val="22"/>
                <w:u w:val="none"/>
              </w:rPr>
            </w:pPr>
          </w:p>
        </w:tc>
        <w:tc>
          <w:tcPr>
            <w:tcW w:w="2415" w:type="dxa"/>
            <w:tcBorders>
              <w:top w:val="single" w:color="666666" w:sz="4" w:space="0"/>
              <w:left w:val="single" w:color="666666" w:sz="4" w:space="0"/>
              <w:bottom w:val="single" w:color="000000" w:sz="4" w:space="0"/>
              <w:right w:val="single" w:color="666666" w:sz="4" w:space="0"/>
            </w:tcBorders>
            <w:shd w:val="clear" w:color="auto" w:fill="auto"/>
            <w:noWrap/>
            <w:vAlign w:val="center"/>
          </w:tcPr>
          <w:p w14:paraId="3B1B1A4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3225" w:type="dxa"/>
            <w:tcBorders>
              <w:top w:val="single" w:color="666666" w:sz="4" w:space="0"/>
              <w:left w:val="single" w:color="666666" w:sz="4" w:space="0"/>
              <w:bottom w:val="single" w:color="000000" w:sz="4" w:space="0"/>
              <w:right w:val="single" w:color="666666" w:sz="4" w:space="0"/>
            </w:tcBorders>
            <w:shd w:val="clear" w:color="auto" w:fill="auto"/>
            <w:vAlign w:val="center"/>
          </w:tcPr>
          <w:p w14:paraId="44920FE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c>
          <w:tcPr>
            <w:tcW w:w="945" w:type="dxa"/>
            <w:tcBorders>
              <w:top w:val="single" w:color="666666" w:sz="4" w:space="0"/>
              <w:left w:val="single" w:color="666666" w:sz="4" w:space="0"/>
              <w:bottom w:val="single" w:color="000000" w:sz="4" w:space="0"/>
              <w:right w:val="single" w:color="666666" w:sz="4" w:space="0"/>
            </w:tcBorders>
            <w:shd w:val="clear" w:color="auto" w:fill="auto"/>
            <w:noWrap/>
            <w:vAlign w:val="center"/>
          </w:tcPr>
          <w:p w14:paraId="03C065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54648</w:t>
            </w:r>
          </w:p>
        </w:tc>
        <w:tc>
          <w:tcPr>
            <w:tcW w:w="825" w:type="dxa"/>
            <w:tcBorders>
              <w:top w:val="single" w:color="666666" w:sz="4" w:space="0"/>
              <w:left w:val="single" w:color="666666" w:sz="4" w:space="0"/>
              <w:bottom w:val="single" w:color="000000" w:sz="4" w:space="0"/>
              <w:right w:val="single" w:color="666666" w:sz="4" w:space="0"/>
            </w:tcBorders>
            <w:shd w:val="clear" w:color="auto" w:fill="auto"/>
            <w:noWrap/>
            <w:vAlign w:val="center"/>
          </w:tcPr>
          <w:p w14:paraId="2C77C5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54648</w:t>
            </w:r>
          </w:p>
        </w:tc>
        <w:tc>
          <w:tcPr>
            <w:tcW w:w="1184" w:type="dxa"/>
            <w:tcBorders>
              <w:top w:val="single" w:color="666666" w:sz="4" w:space="0"/>
              <w:left w:val="single" w:color="666666" w:sz="4" w:space="0"/>
              <w:bottom w:val="single" w:color="000000" w:sz="4" w:space="0"/>
              <w:right w:val="single" w:color="000000" w:sz="4" w:space="0"/>
            </w:tcBorders>
            <w:shd w:val="clear" w:color="auto" w:fill="auto"/>
            <w:noWrap/>
            <w:vAlign w:val="center"/>
          </w:tcPr>
          <w:p w14:paraId="769408D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2"/>
                <w:szCs w:val="22"/>
                <w:u w:val="none"/>
              </w:rPr>
            </w:pPr>
          </w:p>
        </w:tc>
      </w:tr>
    </w:tbl>
    <w:p w14:paraId="38E3F625">
      <w:pPr>
        <w:spacing w:line="560" w:lineRule="exact"/>
        <w:rPr>
          <w:rFonts w:ascii="方正小标宋_GBK" w:hAnsi="方正黑体_GBK" w:eastAsia="方正小标宋_GBK" w:cs="方正黑体_GBK"/>
          <w:sz w:val="44"/>
          <w:szCs w:val="44"/>
        </w:rPr>
        <w:sectPr>
          <w:pgSz w:w="16838" w:h="11906" w:orient="landscape"/>
          <w:pgMar w:top="1588" w:right="2098" w:bottom="1474" w:left="1985" w:header="851" w:footer="1701" w:gutter="0"/>
          <w:pgNumType w:fmt="numberInDash"/>
          <w:cols w:space="425" w:num="1"/>
          <w:docGrid w:type="lines" w:linePitch="312" w:charSpace="0"/>
        </w:sectPr>
      </w:pPr>
    </w:p>
    <w:p w14:paraId="598A497F">
      <w:pPr>
        <w:pStyle w:val="2"/>
        <w:rPr>
          <w:lang w:val="eu-ES"/>
        </w:rPr>
      </w:pPr>
    </w:p>
    <w:p w14:paraId="077CD70C">
      <w:pPr>
        <w:pStyle w:val="2"/>
        <w:rPr>
          <w:lang w:val="eu-ES"/>
        </w:rPr>
      </w:pPr>
    </w:p>
    <w:p w14:paraId="7148EE48">
      <w:pPr>
        <w:pStyle w:val="2"/>
        <w:rPr>
          <w:lang w:val="eu-ES"/>
        </w:rPr>
      </w:pPr>
    </w:p>
    <w:p w14:paraId="509CF424">
      <w:pPr>
        <w:pStyle w:val="2"/>
        <w:rPr>
          <w:lang w:val="eu-ES"/>
        </w:rPr>
      </w:pPr>
    </w:p>
    <w:p w14:paraId="14EFDADB">
      <w:pPr>
        <w:pStyle w:val="2"/>
        <w:rPr>
          <w:lang w:val="eu-ES"/>
        </w:rPr>
      </w:pPr>
    </w:p>
    <w:p w14:paraId="6F7FBC9C">
      <w:pPr>
        <w:pStyle w:val="2"/>
        <w:rPr>
          <w:lang w:val="eu-ES"/>
        </w:rPr>
      </w:pPr>
    </w:p>
    <w:p w14:paraId="1991C90E">
      <w:pPr>
        <w:pStyle w:val="2"/>
        <w:ind w:left="0" w:leftChars="0" w:firstLine="0" w:firstLineChars="0"/>
        <w:rPr>
          <w:lang w:val="eu-ES"/>
        </w:rPr>
      </w:pPr>
    </w:p>
    <w:p w14:paraId="65F9E4DC">
      <w:pPr>
        <w:pStyle w:val="2"/>
        <w:ind w:left="0" w:leftChars="0" w:firstLine="0" w:firstLineChars="0"/>
        <w:rPr>
          <w:lang w:val="eu-ES"/>
        </w:rPr>
      </w:pPr>
    </w:p>
    <w:p w14:paraId="7081AFCA">
      <w:pPr>
        <w:pStyle w:val="2"/>
        <w:ind w:left="0" w:leftChars="0" w:firstLine="0" w:firstLineChars="0"/>
        <w:rPr>
          <w:lang w:val="eu-ES"/>
        </w:rPr>
      </w:pPr>
    </w:p>
    <w:p w14:paraId="4981A83E">
      <w:pPr>
        <w:pStyle w:val="2"/>
        <w:ind w:left="0" w:leftChars="0" w:firstLine="0" w:firstLineChars="0"/>
        <w:rPr>
          <w:lang w:val="eu-ES"/>
        </w:rPr>
      </w:pPr>
    </w:p>
    <w:p w14:paraId="376D336B">
      <w:pPr>
        <w:pStyle w:val="2"/>
        <w:ind w:left="0" w:leftChars="0" w:firstLine="0" w:firstLineChars="0"/>
        <w:rPr>
          <w:lang w:val="eu-ES"/>
        </w:rPr>
      </w:pPr>
    </w:p>
    <w:p w14:paraId="3CE23E79">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exact"/>
        <w:ind w:left="0" w:leftChars="0" w:firstLine="0" w:firstLineChars="0"/>
        <w:textAlignment w:val="auto"/>
        <w:rPr>
          <w:lang w:val="eu-ES"/>
        </w:rPr>
      </w:pPr>
    </w:p>
    <w:p w14:paraId="1B23509E">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exact"/>
        <w:ind w:left="0" w:leftChars="0" w:firstLine="0" w:firstLineChars="0"/>
        <w:textAlignment w:val="auto"/>
        <w:rPr>
          <w:lang w:val="eu-ES"/>
        </w:rPr>
      </w:pPr>
    </w:p>
    <w:p w14:paraId="74B2A90D">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exact"/>
        <w:ind w:left="0" w:leftChars="0" w:firstLine="0" w:firstLineChars="0"/>
        <w:textAlignment w:val="auto"/>
        <w:rPr>
          <w:lang w:val="eu-ES"/>
        </w:rPr>
      </w:pPr>
    </w:p>
    <w:p w14:paraId="6D946E07">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exact"/>
        <w:ind w:left="0" w:leftChars="0" w:firstLine="0" w:firstLineChars="0"/>
        <w:textAlignment w:val="auto"/>
        <w:rPr>
          <w:lang w:val="eu-ES"/>
        </w:rPr>
      </w:pPr>
    </w:p>
    <w:p w14:paraId="22F89443">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exact"/>
        <w:ind w:left="0" w:leftChars="0" w:firstLine="0" w:firstLineChars="0"/>
        <w:textAlignment w:val="auto"/>
        <w:rPr>
          <w:lang w:val="eu-ES"/>
        </w:rPr>
      </w:pPr>
    </w:p>
    <w:p w14:paraId="1CF9FE9C">
      <w:pPr>
        <w:pStyle w:val="2"/>
        <w:ind w:left="0" w:leftChars="0" w:firstLine="0" w:firstLineChars="0"/>
        <w:rPr>
          <w:lang w:val="eu-ES"/>
        </w:rPr>
      </w:pPr>
    </w:p>
    <w:p w14:paraId="260030CB">
      <w:pPr>
        <w:spacing w:line="100" w:lineRule="exact"/>
        <w:jc w:val="center"/>
        <w:rPr>
          <w:lang w:val="eu-ES"/>
        </w:rPr>
      </w:pPr>
    </w:p>
    <w:p w14:paraId="6C095FE9">
      <w:pPr>
        <w:pBdr>
          <w:top w:val="single" w:color="auto" w:sz="6" w:space="0"/>
          <w:bottom w:val="single" w:color="auto" w:sz="6" w:space="1"/>
        </w:pBdr>
        <w:spacing w:line="520" w:lineRule="exact"/>
        <w:ind w:firstLine="276" w:firstLineChars="100"/>
        <w:rPr>
          <w:rFonts w:ascii="方正仿宋_GBK"/>
          <w:spacing w:val="-6"/>
          <w:sz w:val="28"/>
          <w:szCs w:val="28"/>
        </w:rPr>
      </w:pPr>
      <w:r>
        <w:rPr>
          <w:rFonts w:hint="eastAsia" w:ascii="方正仿宋_GBK"/>
          <w:color w:val="000000"/>
          <w:sz w:val="28"/>
          <w:szCs w:val="28"/>
          <w:lang w:eastAsia="zh-CN"/>
        </w:rPr>
        <w:t>重庆市</w:t>
      </w:r>
      <w:r>
        <w:rPr>
          <w:rFonts w:hint="eastAsia" w:ascii="方正仿宋_GBK"/>
          <w:color w:val="000000"/>
          <w:sz w:val="28"/>
          <w:szCs w:val="28"/>
        </w:rPr>
        <w:t>涪陵区荔枝街道</w:t>
      </w:r>
      <w:r>
        <w:rPr>
          <w:rFonts w:hint="eastAsia" w:ascii="方正仿宋_GBK"/>
          <w:color w:val="000000"/>
          <w:sz w:val="28"/>
          <w:szCs w:val="28"/>
          <w:lang w:eastAsia="zh-CN"/>
        </w:rPr>
        <w:t>基层治理综合指挥室</w:t>
      </w:r>
      <w:r>
        <w:rPr>
          <w:rFonts w:hint="eastAsia" w:ascii="方正仿宋_GBK"/>
          <w:spacing w:val="-6"/>
          <w:sz w:val="28"/>
          <w:szCs w:val="28"/>
        </w:rPr>
        <w:t xml:space="preserve">  </w:t>
      </w:r>
      <w:r>
        <w:rPr>
          <w:rFonts w:hint="eastAsia" w:ascii="方正仿宋_GBK"/>
          <w:spacing w:val="-6"/>
          <w:sz w:val="28"/>
          <w:szCs w:val="28"/>
          <w:lang w:val="en-US" w:eastAsia="zh-CN"/>
        </w:rPr>
        <w:t xml:space="preserve"> </w:t>
      </w:r>
      <w:r>
        <w:rPr>
          <w:rFonts w:hint="eastAsia" w:ascii="方正仿宋_GBK"/>
          <w:spacing w:val="-6"/>
          <w:sz w:val="28"/>
          <w:szCs w:val="28"/>
        </w:rPr>
        <w:t>202</w:t>
      </w:r>
      <w:r>
        <w:rPr>
          <w:rFonts w:hint="eastAsia" w:ascii="方正仿宋_GBK"/>
          <w:spacing w:val="-6"/>
          <w:sz w:val="28"/>
          <w:szCs w:val="28"/>
          <w:lang w:val="en-US" w:eastAsia="zh-CN"/>
        </w:rPr>
        <w:t>5</w:t>
      </w:r>
      <w:r>
        <w:rPr>
          <w:rFonts w:hint="eastAsia" w:ascii="方正仿宋_GBK"/>
          <w:spacing w:val="-6"/>
          <w:sz w:val="28"/>
          <w:szCs w:val="28"/>
        </w:rPr>
        <w:t>年</w:t>
      </w:r>
      <w:r>
        <w:rPr>
          <w:rFonts w:hint="eastAsia" w:ascii="方正仿宋_GBK"/>
          <w:spacing w:val="-6"/>
          <w:sz w:val="28"/>
          <w:szCs w:val="28"/>
          <w:lang w:val="en-US" w:eastAsia="zh-CN"/>
        </w:rPr>
        <w:t>8</w:t>
      </w:r>
      <w:r>
        <w:rPr>
          <w:rFonts w:hint="eastAsia" w:ascii="方正仿宋_GBK"/>
          <w:spacing w:val="-6"/>
          <w:sz w:val="28"/>
          <w:szCs w:val="28"/>
        </w:rPr>
        <w:t>月</w:t>
      </w:r>
      <w:r>
        <w:rPr>
          <w:rFonts w:hint="eastAsia" w:ascii="方正仿宋_GBK"/>
          <w:spacing w:val="-6"/>
          <w:sz w:val="28"/>
          <w:szCs w:val="28"/>
          <w:lang w:val="en-US" w:eastAsia="zh-CN"/>
        </w:rPr>
        <w:t>29</w:t>
      </w:r>
      <w:r>
        <w:rPr>
          <w:rFonts w:hint="eastAsia" w:ascii="方正仿宋_GBK"/>
          <w:spacing w:val="-6"/>
          <w:sz w:val="28"/>
          <w:szCs w:val="28"/>
        </w:rPr>
        <w:t>日印发</w:t>
      </w:r>
    </w:p>
    <w:sectPr>
      <w:footerReference r:id="rId6" w:type="default"/>
      <w:footerReference r:id="rId7" w:type="even"/>
      <w:pgSz w:w="11906" w:h="16838"/>
      <w:pgMar w:top="2098" w:right="1474" w:bottom="1985" w:left="1587" w:header="85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E1B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693D">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14:paraId="42450A8B">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A5FB">
    <w:pPr>
      <w:pStyle w:val="7"/>
      <w:framePr w:wrap="around" w:vAnchor="text" w:hAnchor="margin" w:xAlign="outside" w:y="1"/>
      <w:ind w:left="320" w:leftChars="100" w:right="320" w:rightChars="100"/>
      <w:jc w:val="both"/>
      <w:rPr>
        <w:rStyle w:val="14"/>
        <w:sz w:val="28"/>
        <w:szCs w:val="28"/>
      </w:rPr>
    </w:pPr>
    <w:r>
      <w:rPr>
        <w:rStyle w:val="14"/>
        <w:rFonts w:hint="eastAsia"/>
        <w:sz w:val="28"/>
        <w:szCs w:val="28"/>
      </w:rPr>
      <w:t>－</w:t>
    </w: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1</w:t>
    </w:r>
    <w:r>
      <w:rPr>
        <w:rStyle w:val="14"/>
        <w:sz w:val="28"/>
        <w:szCs w:val="28"/>
      </w:rPr>
      <w:fldChar w:fldCharType="end"/>
    </w:r>
    <w:r>
      <w:rPr>
        <w:rStyle w:val="14"/>
        <w:rFonts w:hint="eastAsia"/>
        <w:sz w:val="28"/>
        <w:szCs w:val="28"/>
      </w:rPr>
      <w:t>－</w:t>
    </w:r>
  </w:p>
  <w:p w14:paraId="644B1F11">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C69A">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0429A6CF">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FC41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9F8E0A2-BDDB-4D23-B24B-CEA75BE052B7}" w:val="GpxBcqNOk53XDj=IKTMeP4AYtvHEuziwaf8LbWQl0mn7dU6hR/12Vr+ySZFogCs9J"/>
    <w:docVar w:name="{72BE8C05-6807-4FA9-BBE0-933CC843E617}" w:val="qFNselY2VU43zZ/ExmBobt1j8inAP6RkHpO=wag5cGS+QMDX9uyWdKhJT0fLICr7v"/>
    <w:docVar w:name="{9534790E-C6EC-4512-B92B-34A7385973FA}" w:val="GpxBcqNOk53XDj=IKTMeP4AYtvHEuziwaf8LbWQl0mn7dU6hR/12Vr+ySZFogCs9J"/>
    <w:docVar w:name="{AD8B1726-AAB4-4D0E-A587-27966CD999EA}" w:val="GpxBcqNOk53XDj=IKTMeP4AYtvHEuziwaf8LbWQl0mn7dU6hR/12Vr+ySZFogCs9J"/>
    <w:docVar w:name="{CF6E0B26-E543-42FA-8800-739B3969A0F3}" w:val="GpxBcqNOk53XDj=IKTMeP4AYtvHEuziwaf8LbWQl0mn7dU6hR/12Vr+ySZFogCs9J"/>
    <w:docVar w:name="DocumentID" w:val="{4A1E8730-BC53-458E-BFBB-E72080DF72CD}"/>
  </w:docVars>
  <w:rsids>
    <w:rsidRoot w:val="6FDFFD2D"/>
    <w:rsid w:val="00033DBB"/>
    <w:rsid w:val="00083C60"/>
    <w:rsid w:val="000A1F8C"/>
    <w:rsid w:val="000D2D1B"/>
    <w:rsid w:val="000D3515"/>
    <w:rsid w:val="000E7A76"/>
    <w:rsid w:val="00125892"/>
    <w:rsid w:val="00137CEC"/>
    <w:rsid w:val="00152938"/>
    <w:rsid w:val="0019600E"/>
    <w:rsid w:val="001C374A"/>
    <w:rsid w:val="001C7B85"/>
    <w:rsid w:val="00212B0F"/>
    <w:rsid w:val="00230C77"/>
    <w:rsid w:val="00237163"/>
    <w:rsid w:val="002560F9"/>
    <w:rsid w:val="00263542"/>
    <w:rsid w:val="002C5445"/>
    <w:rsid w:val="002D3026"/>
    <w:rsid w:val="002E6685"/>
    <w:rsid w:val="00327220"/>
    <w:rsid w:val="0035525F"/>
    <w:rsid w:val="003668B9"/>
    <w:rsid w:val="00385D19"/>
    <w:rsid w:val="0039539C"/>
    <w:rsid w:val="003B7AA6"/>
    <w:rsid w:val="003D477B"/>
    <w:rsid w:val="00403A01"/>
    <w:rsid w:val="00435BFC"/>
    <w:rsid w:val="0045339D"/>
    <w:rsid w:val="00465A57"/>
    <w:rsid w:val="00482199"/>
    <w:rsid w:val="004B2822"/>
    <w:rsid w:val="004C13F7"/>
    <w:rsid w:val="004C25F2"/>
    <w:rsid w:val="004C5753"/>
    <w:rsid w:val="004C7CD5"/>
    <w:rsid w:val="004D5E58"/>
    <w:rsid w:val="004E42D8"/>
    <w:rsid w:val="004E7B06"/>
    <w:rsid w:val="00530199"/>
    <w:rsid w:val="005335D3"/>
    <w:rsid w:val="00573D28"/>
    <w:rsid w:val="005A7FA0"/>
    <w:rsid w:val="005E39CA"/>
    <w:rsid w:val="006068DE"/>
    <w:rsid w:val="00607B61"/>
    <w:rsid w:val="006232E7"/>
    <w:rsid w:val="00627E68"/>
    <w:rsid w:val="00690CC8"/>
    <w:rsid w:val="006B6266"/>
    <w:rsid w:val="0073047C"/>
    <w:rsid w:val="00740ADA"/>
    <w:rsid w:val="00761BCC"/>
    <w:rsid w:val="00762FD6"/>
    <w:rsid w:val="007A5412"/>
    <w:rsid w:val="007D3E41"/>
    <w:rsid w:val="007E56E1"/>
    <w:rsid w:val="00815049"/>
    <w:rsid w:val="008255D0"/>
    <w:rsid w:val="00831BF6"/>
    <w:rsid w:val="008626A4"/>
    <w:rsid w:val="008749EF"/>
    <w:rsid w:val="008900E1"/>
    <w:rsid w:val="008912F6"/>
    <w:rsid w:val="008A553A"/>
    <w:rsid w:val="008D39F1"/>
    <w:rsid w:val="008F20CB"/>
    <w:rsid w:val="008F6462"/>
    <w:rsid w:val="009271AA"/>
    <w:rsid w:val="00936082"/>
    <w:rsid w:val="0093713C"/>
    <w:rsid w:val="00941288"/>
    <w:rsid w:val="00950E3B"/>
    <w:rsid w:val="00953FE4"/>
    <w:rsid w:val="00986CCD"/>
    <w:rsid w:val="009C2580"/>
    <w:rsid w:val="009D4234"/>
    <w:rsid w:val="009F70D6"/>
    <w:rsid w:val="00A52C4D"/>
    <w:rsid w:val="00AC08D4"/>
    <w:rsid w:val="00AD044E"/>
    <w:rsid w:val="00BB1953"/>
    <w:rsid w:val="00BD09D8"/>
    <w:rsid w:val="00BD4A97"/>
    <w:rsid w:val="00C11D84"/>
    <w:rsid w:val="00C23EFF"/>
    <w:rsid w:val="00C26033"/>
    <w:rsid w:val="00C37608"/>
    <w:rsid w:val="00C547FC"/>
    <w:rsid w:val="00C92B82"/>
    <w:rsid w:val="00C93D27"/>
    <w:rsid w:val="00CA010C"/>
    <w:rsid w:val="00CA3AE3"/>
    <w:rsid w:val="00D22D9B"/>
    <w:rsid w:val="00D5706A"/>
    <w:rsid w:val="00D731DF"/>
    <w:rsid w:val="00D76FF7"/>
    <w:rsid w:val="00DA2A99"/>
    <w:rsid w:val="00DC02F4"/>
    <w:rsid w:val="00DC0CCF"/>
    <w:rsid w:val="00DE2152"/>
    <w:rsid w:val="00DE42DB"/>
    <w:rsid w:val="00DF6930"/>
    <w:rsid w:val="00E05FFB"/>
    <w:rsid w:val="00E27231"/>
    <w:rsid w:val="00E354F3"/>
    <w:rsid w:val="00E371F6"/>
    <w:rsid w:val="00E52B30"/>
    <w:rsid w:val="00E64E37"/>
    <w:rsid w:val="00E853E7"/>
    <w:rsid w:val="00EA5EB4"/>
    <w:rsid w:val="00ED3FAD"/>
    <w:rsid w:val="00F32527"/>
    <w:rsid w:val="00F32871"/>
    <w:rsid w:val="00F66031"/>
    <w:rsid w:val="00FC2BF3"/>
    <w:rsid w:val="00FD1D65"/>
    <w:rsid w:val="5DF2F7AF"/>
    <w:rsid w:val="5EFFA09D"/>
    <w:rsid w:val="6B5A5EB9"/>
    <w:rsid w:val="6F76D350"/>
    <w:rsid w:val="6FDFFD2D"/>
    <w:rsid w:val="7FE6FE88"/>
    <w:rsid w:val="BCFF1903"/>
    <w:rsid w:val="BDFFD9FA"/>
    <w:rsid w:val="EF1C9D67"/>
    <w:rsid w:val="FADF9290"/>
    <w:rsid w:val="FDACB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4">
    <w:name w:val="heading 1"/>
    <w:basedOn w:val="1"/>
    <w:next w:val="1"/>
    <w:link w:val="15"/>
    <w:qFormat/>
    <w:uiPriority w:val="0"/>
    <w:pPr>
      <w:keepNext/>
      <w:keepLines/>
      <w:spacing w:before="340" w:after="330" w:line="578" w:lineRule="auto"/>
      <w:jc w:val="center"/>
      <w:outlineLvl w:val="0"/>
    </w:pPr>
    <w:rPr>
      <w:rFonts w:eastAsia="仿宋_GB2312"/>
      <w:b/>
      <w:bCs/>
      <w:kern w:val="44"/>
      <w:sz w:val="48"/>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200" w:firstLineChars="200"/>
    </w:pPr>
  </w:style>
  <w:style w:type="paragraph" w:styleId="3">
    <w:name w:val="Body Text Indent"/>
    <w:basedOn w:val="1"/>
    <w:qFormat/>
    <w:uiPriority w:val="0"/>
    <w:pPr>
      <w:widowControl/>
      <w:spacing w:before="100" w:beforeAutospacing="1" w:after="100" w:afterAutospacing="1" w:line="225" w:lineRule="atLeast"/>
      <w:jc w:val="left"/>
    </w:pPr>
    <w:rPr>
      <w:rFonts w:ascii="宋体" w:hAnsi="宋体" w:eastAsia="方正仿宋_GBK"/>
      <w:color w:val="000000"/>
      <w:kern w:val="0"/>
      <w:sz w:val="18"/>
      <w:szCs w:val="18"/>
    </w:rPr>
  </w:style>
  <w:style w:type="paragraph" w:styleId="5">
    <w:name w:val="Date"/>
    <w:basedOn w:val="1"/>
    <w:next w:val="1"/>
    <w:qFormat/>
    <w:uiPriority w:val="0"/>
    <w:pPr>
      <w:ind w:left="100" w:leftChars="2500"/>
    </w:pPr>
  </w:style>
  <w:style w:type="paragraph" w:styleId="6">
    <w:name w:val="Body Text Indent 2"/>
    <w:basedOn w:val="1"/>
    <w:qFormat/>
    <w:uiPriority w:val="0"/>
    <w:pPr>
      <w:spacing w:line="240" w:lineRule="atLeast"/>
      <w:ind w:firstLine="640" w:firstLineChars="200"/>
    </w:pPr>
    <w:rPr>
      <w:rFonts w:eastAsia="仿宋_GB231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1 Char"/>
    <w:basedOn w:val="13"/>
    <w:link w:val="4"/>
    <w:qFormat/>
    <w:uiPriority w:val="0"/>
    <w:rPr>
      <w:rFonts w:eastAsia="仿宋_GB2312"/>
      <w:b/>
      <w:bCs/>
      <w:kern w:val="44"/>
      <w:sz w:val="48"/>
      <w:szCs w:val="44"/>
      <w:lang w:val="en-US" w:eastAsia="zh-CN" w:bidi="ar-SA"/>
    </w:rPr>
  </w:style>
  <w:style w:type="paragraph" w:customStyle="1" w:styleId="16">
    <w:name w:val="p0"/>
    <w:basedOn w:val="1"/>
    <w:qFormat/>
    <w:uiPriority w:val="0"/>
    <w:pPr>
      <w:widowControl/>
      <w:jc w:val="left"/>
    </w:pPr>
    <w:rPr>
      <w:rFonts w:ascii="宋体" w:hAnsi="宋体" w:eastAsia="宋体" w:cs="宋体"/>
      <w:kern w:val="0"/>
      <w:sz w:val="24"/>
      <w:szCs w:val="24"/>
    </w:rPr>
  </w:style>
  <w:style w:type="character" w:customStyle="1" w:styleId="17">
    <w:name w:val="infotitle_cn1"/>
    <w:basedOn w:val="13"/>
    <w:qFormat/>
    <w:uiPriority w:val="0"/>
    <w:rPr>
      <w:color w:val="90A701"/>
    </w:rPr>
  </w:style>
  <w:style w:type="character" w:customStyle="1" w:styleId="18">
    <w:name w:val="apple-style-span"/>
    <w:basedOn w:val="13"/>
    <w:qFormat/>
    <w:uiPriority w:val="0"/>
  </w:style>
  <w:style w:type="character" w:customStyle="1" w:styleId="19">
    <w:name w:val="32-4-1"/>
    <w:basedOn w:val="13"/>
    <w:qFormat/>
    <w:uiPriority w:val="0"/>
  </w:style>
  <w:style w:type="character" w:customStyle="1" w:styleId="20">
    <w:name w:val="32-2-1"/>
    <w:basedOn w:val="13"/>
    <w:qFormat/>
    <w:uiPriority w:val="0"/>
  </w:style>
  <w:style w:type="character" w:customStyle="1" w:styleId="21">
    <w:name w:val="32-1-1"/>
    <w:basedOn w:val="13"/>
    <w:qFormat/>
    <w:uiPriority w:val="0"/>
  </w:style>
  <w:style w:type="character" w:customStyle="1" w:styleId="22">
    <w:name w:val="32-3-1"/>
    <w:basedOn w:val="13"/>
    <w:qFormat/>
    <w:uiPriority w:val="0"/>
  </w:style>
  <w:style w:type="character" w:customStyle="1" w:styleId="23">
    <w:name w:val="样式 小四"/>
    <w:basedOn w:val="13"/>
    <w:qFormat/>
    <w:uiPriority w:val="0"/>
    <w:rPr>
      <w:sz w:val="32"/>
    </w:rPr>
  </w:style>
  <w:style w:type="paragraph" w:customStyle="1" w:styleId="24">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paragraph" w:customStyle="1" w:styleId="25">
    <w:name w:val="列出段落1"/>
    <w:basedOn w:val="1"/>
    <w:qFormat/>
    <w:uiPriority w:val="0"/>
    <w:pPr>
      <w:ind w:firstLine="420" w:firstLineChars="200"/>
    </w:pPr>
    <w:rPr>
      <w:rFonts w:eastAsia="宋体"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esktop/&#21457;&#25991;&#27169;&#26495;/&#33620;&#26525;&#21150;&#2599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荔枝办文.dotx</Template>
  <Pages>14</Pages>
  <Words>4886</Words>
  <Characters>5385</Characters>
  <Lines>1</Lines>
  <Paragraphs>1</Paragraphs>
  <TotalTime>3</TotalTime>
  <ScaleCrop>false</ScaleCrop>
  <LinksUpToDate>false</LinksUpToDate>
  <CharactersWithSpaces>5446</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2023-04-09T17:59:00Z</dcterms:created>
  <dc:creator>user</dc:creator>
  <cp:lastModifiedBy>GH</cp:lastModifiedBy>
  <dcterms:modified xsi:type="dcterms:W3CDTF">2026-06-05T11:46:25Z</dcterms:modified>
  <dc:title>涪府发〔2013〕号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08B58E9E2329238A9146226A1ED964E5_42</vt:lpwstr>
  </property>
</Properties>
</file>