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0" w:firstLineChars="0"/>
        <w:jc w:val="center"/>
        <w:textAlignment w:val="auto"/>
        <w:rPr>
          <w:rFonts w:hint="eastAsia" w:ascii="方正小标宋_GBK" w:hAnsi="方正小标宋_GBK" w:eastAsia="方正小标宋_GBK" w:cs="方正小标宋_GBK"/>
          <w:b w:val="0"/>
          <w:bCs/>
          <w:color w:val="auto"/>
          <w:sz w:val="44"/>
          <w:szCs w:val="44"/>
          <w:highlight w:val="none"/>
        </w:rPr>
      </w:pPr>
      <w:r>
        <w:rPr>
          <w:rStyle w:val="5"/>
          <w:rFonts w:hint="eastAsia" w:ascii="方正小标宋_GBK" w:hAnsi="方正小标宋_GBK" w:eastAsia="方正小标宋_GBK" w:cs="方正小标宋_GBK"/>
          <w:b w:val="0"/>
          <w:bCs/>
          <w:color w:val="auto"/>
          <w:sz w:val="44"/>
          <w:szCs w:val="44"/>
          <w:highlight w:val="none"/>
          <w:shd w:val="clear" w:fill="FFFFFF"/>
        </w:rPr>
        <w:t>重庆市涪陵区荔枝街道退役军人服务站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0" w:firstLineChars="0"/>
        <w:jc w:val="center"/>
        <w:textAlignment w:val="auto"/>
        <w:rPr>
          <w:rStyle w:val="5"/>
          <w:rFonts w:hint="eastAsia" w:ascii="方正小标宋_GBK" w:hAnsi="方正小标宋_GBK" w:eastAsia="方正小标宋_GBK" w:cs="方正小标宋_GBK"/>
          <w:b w:val="0"/>
          <w:bCs/>
          <w:color w:val="auto"/>
          <w:sz w:val="44"/>
          <w:szCs w:val="44"/>
          <w:highlight w:val="none"/>
          <w:shd w:val="clear" w:fill="FFFFFF"/>
        </w:rPr>
      </w:pPr>
      <w:r>
        <w:rPr>
          <w:rStyle w:val="5"/>
          <w:rFonts w:hint="eastAsia" w:ascii="方正小标宋_GBK" w:hAnsi="方正小标宋_GBK" w:eastAsia="方正小标宋_GBK" w:cs="方正小标宋_GBK"/>
          <w:b w:val="0"/>
          <w:bCs/>
          <w:color w:val="auto"/>
          <w:sz w:val="44"/>
          <w:szCs w:val="44"/>
          <w:highlight w:val="none"/>
          <w:shd w:val="clear" w:fill="FFFFFF"/>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center"/>
        <w:textAlignment w:val="auto"/>
        <w:rPr>
          <w:rStyle w:val="5"/>
          <w:rFonts w:hint="eastAsia" w:ascii="方正仿宋_GBK" w:hAnsi="方正仿宋_GBK" w:eastAsia="方正仿宋_GBK" w:cs="方正仿宋_GBK"/>
          <w:b w:val="0"/>
          <w:bCs/>
          <w:color w:val="auto"/>
          <w:sz w:val="32"/>
          <w:szCs w:val="32"/>
          <w:highlight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color w:val="auto"/>
          <w:sz w:val="32"/>
          <w:szCs w:val="32"/>
          <w:highlight w:val="none"/>
        </w:rPr>
      </w:pPr>
      <w:r>
        <w:rPr>
          <w:rStyle w:val="5"/>
          <w:rFonts w:hint="eastAsia" w:ascii="方正黑体_GBK" w:hAnsi="方正黑体_GBK" w:eastAsia="方正黑体_GBK" w:cs="方正黑体_GBK"/>
          <w:b w:val="0"/>
          <w:bCs/>
          <w:color w:val="auto"/>
          <w:sz w:val="32"/>
          <w:szCs w:val="32"/>
          <w:highlight w:val="none"/>
          <w:shd w:val="clear" w:fill="FFFFFF"/>
        </w:rPr>
        <w:t>一、部门基本情况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楷体_GBK" w:hAnsi="方正楷体_GBK" w:eastAsia="方正楷体_GBK" w:cs="方正楷体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（一）职能职责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承担退役军人关系转接、联络接待、困难帮扶、信息采集、走访慰问等相关服务工作；完成街道党工委、办事处交办的其他任务。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（二）机构设置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rPr>
        <w:t>重庆市涪陵区荔枝街道退役军人服务站规格正科级，类别公益一类，经费形式全额拨款</w:t>
      </w:r>
      <w:r>
        <w:rPr>
          <w:rFonts w:hint="eastAsia" w:ascii="方正仿宋_GBK" w:hAnsi="方正仿宋_GBK" w:eastAsia="方正仿宋_GBK" w:cs="方正仿宋_GBK"/>
          <w:b w:val="0"/>
          <w:bCs/>
          <w:color w:val="auto"/>
          <w:sz w:val="32"/>
          <w:szCs w:val="32"/>
          <w:highlight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1.总体情况。</w:t>
      </w:r>
      <w:r>
        <w:rPr>
          <w:rFonts w:hint="eastAsia" w:ascii="方正仿宋_GBK" w:hAnsi="方正仿宋_GBK" w:eastAsia="方正仿宋_GBK" w:cs="方正仿宋_GBK"/>
          <w:b w:val="0"/>
          <w:bCs/>
          <w:color w:val="auto"/>
          <w:sz w:val="32"/>
          <w:szCs w:val="32"/>
          <w:highlight w:val="none"/>
          <w:shd w:val="clear" w:fill="FFFFFF"/>
        </w:rPr>
        <w:t>2022年度收入总计143.89万元，支出总计143.89万元。收支较上年决算数增加143.89万元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2.收入情况。</w:t>
      </w:r>
      <w:r>
        <w:rPr>
          <w:rFonts w:hint="eastAsia" w:ascii="方正仿宋_GBK" w:hAnsi="方正仿宋_GBK" w:eastAsia="方正仿宋_GBK" w:cs="方正仿宋_GBK"/>
          <w:b w:val="0"/>
          <w:bCs/>
          <w:color w:val="auto"/>
          <w:sz w:val="32"/>
          <w:szCs w:val="32"/>
          <w:highlight w:val="none"/>
          <w:shd w:val="clear" w:fill="FFFFFF"/>
        </w:rPr>
        <w:t>2022年度收入合计143.89万元，较上年决算数增加143.89万元，主要原因是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。其中：财政拨款收入143.89万元，占100%。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3.支出情况。</w:t>
      </w:r>
      <w:r>
        <w:rPr>
          <w:rFonts w:hint="eastAsia" w:ascii="方正仿宋_GBK" w:hAnsi="方正仿宋_GBK" w:eastAsia="方正仿宋_GBK" w:cs="方正仿宋_GBK"/>
          <w:b w:val="0"/>
          <w:bCs/>
          <w:color w:val="auto"/>
          <w:sz w:val="32"/>
          <w:szCs w:val="32"/>
          <w:highlight w:val="none"/>
          <w:shd w:val="clear" w:fill="FFFFFF"/>
        </w:rPr>
        <w:t>2022年度支出合计143.78万元，较上年决算增加143.78万元，主要原因是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。其中：基本支出143.78万元，占100%。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lang w:eastAsia="zh-CN"/>
        </w:rPr>
      </w:pPr>
      <w:r>
        <w:rPr>
          <w:rStyle w:val="5"/>
          <w:rFonts w:hint="eastAsia" w:ascii="方正仿宋_GBK" w:hAnsi="方正仿宋_GBK" w:eastAsia="方正仿宋_GBK" w:cs="方正仿宋_GBK"/>
          <w:b w:val="0"/>
          <w:bCs/>
          <w:color w:val="auto"/>
          <w:sz w:val="32"/>
          <w:szCs w:val="32"/>
          <w:highlight w:val="none"/>
          <w:shd w:val="clear" w:fill="FFFFFF"/>
        </w:rPr>
        <w:t>4.结转结余情况。</w:t>
      </w:r>
      <w:r>
        <w:rPr>
          <w:rFonts w:hint="eastAsia" w:ascii="方正仿宋_GBK" w:hAnsi="方正仿宋_GBK" w:eastAsia="方正仿宋_GBK" w:cs="方正仿宋_GBK"/>
          <w:b w:val="0"/>
          <w:bCs/>
          <w:color w:val="auto"/>
          <w:sz w:val="32"/>
          <w:szCs w:val="32"/>
          <w:highlight w:val="none"/>
          <w:shd w:val="clear" w:fill="FFFFFF"/>
        </w:rPr>
        <w:t>2022年度年末结转和结余0.11万元，较上年决算数增加0.11万元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退役军人服务站</w:t>
      </w:r>
      <w:r>
        <w:rPr>
          <w:rFonts w:hint="eastAsia" w:ascii="方正仿宋_GBK" w:hAnsi="方正仿宋_GBK" w:eastAsia="方正仿宋_GBK" w:cs="方正仿宋_GBK"/>
          <w:b w:val="0"/>
          <w:bCs/>
          <w:color w:val="auto"/>
          <w:sz w:val="32"/>
          <w:szCs w:val="32"/>
          <w:highlight w:val="none"/>
          <w:shd w:val="clear" w:fill="FFFFFF"/>
        </w:rPr>
        <w:t>公用经费结转</w:t>
      </w:r>
      <w:r>
        <w:rPr>
          <w:rFonts w:hint="eastAsia" w:ascii="方正仿宋_GBK" w:hAnsi="方正仿宋_GBK" w:eastAsia="方正仿宋_GBK" w:cs="方正仿宋_GBK"/>
          <w:b w:val="0"/>
          <w:bCs/>
          <w:color w:val="auto"/>
          <w:sz w:val="32"/>
          <w:szCs w:val="32"/>
          <w:highlight w:val="none"/>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2022年度财政拨款收、支总计143.89万元。与2021年相比，财政拨款收、支总计各增加143.89万元，主要原因是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（三）一般公共预算财政拨款收入支出决算情况说明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1.收入情况。</w:t>
      </w:r>
      <w:r>
        <w:rPr>
          <w:rFonts w:hint="eastAsia" w:ascii="方正仿宋_GBK" w:hAnsi="方正仿宋_GBK" w:eastAsia="方正仿宋_GBK" w:cs="方正仿宋_GBK"/>
          <w:b w:val="0"/>
          <w:bCs/>
          <w:color w:val="auto"/>
          <w:sz w:val="32"/>
          <w:szCs w:val="32"/>
          <w:highlight w:val="none"/>
          <w:shd w:val="clear" w:fill="FFFFFF"/>
        </w:rPr>
        <w:t>2022年度一般公共预算财政拨款收入143.89万元，较上年决算数增加143.89万元</w:t>
      </w:r>
      <w:r>
        <w:rPr>
          <w:rFonts w:hint="eastAsia" w:ascii="方正仿宋_GBK" w:hAnsi="方正仿宋_GBK" w:eastAsia="方正仿宋_GBK" w:cs="方正仿宋_GBK"/>
          <w:b w:val="0"/>
          <w:bCs/>
          <w:color w:val="auto"/>
          <w:sz w:val="32"/>
          <w:szCs w:val="32"/>
          <w:highlight w:val="none"/>
          <w:shd w:val="clear" w:fill="FFFFFF"/>
          <w:lang w:eastAsia="zh-CN"/>
        </w:rPr>
        <w:t>，</w:t>
      </w:r>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。较年初预算数减少36.11万元，下降20.1%。主要原因是</w:t>
      </w:r>
      <w:r>
        <w:rPr>
          <w:rFonts w:hint="eastAsia" w:ascii="方正仿宋_GBK" w:hAnsi="方正仿宋_GBK" w:eastAsia="方正仿宋_GBK" w:cs="方正仿宋_GBK"/>
          <w:b w:val="0"/>
          <w:bCs/>
          <w:color w:val="auto"/>
          <w:sz w:val="32"/>
          <w:szCs w:val="32"/>
          <w:highlight w:val="none"/>
          <w:shd w:val="clear" w:color="auto" w:fill="FFFFFF"/>
          <w:lang w:eastAsia="zh-CN"/>
        </w:rPr>
        <w:t>受疫情影响，经济下滑，税收收入下降。</w:t>
      </w:r>
      <w:r>
        <w:rPr>
          <w:rFonts w:hint="eastAsia" w:ascii="方正仿宋_GBK" w:hAnsi="方正仿宋_GBK" w:eastAsia="方正仿宋_GBK" w:cs="方正仿宋_GBK"/>
          <w:b w:val="0"/>
          <w:bCs/>
          <w:color w:val="auto"/>
          <w:sz w:val="32"/>
          <w:szCs w:val="32"/>
          <w:highlight w:val="none"/>
          <w:shd w:val="clear" w:fill="FFFFFF"/>
        </w:rPr>
        <w:t>此外，年初财政拨款结转和结余0.00万元。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Style w:val="5"/>
          <w:rFonts w:hint="eastAsia" w:ascii="方正仿宋_GBK" w:hAnsi="方正仿宋_GBK" w:eastAsia="方正仿宋_GBK" w:cs="方正仿宋_GBK"/>
          <w:b w:val="0"/>
          <w:bCs/>
          <w:color w:val="auto"/>
          <w:sz w:val="32"/>
          <w:szCs w:val="32"/>
          <w:highlight w:val="none"/>
          <w:shd w:val="clear" w:fill="FFFFFF"/>
        </w:rPr>
        <w:t>2.支出情况。</w:t>
      </w:r>
      <w:r>
        <w:rPr>
          <w:rFonts w:hint="eastAsia" w:ascii="方正仿宋_GBK" w:hAnsi="方正仿宋_GBK" w:eastAsia="方正仿宋_GBK" w:cs="方正仿宋_GBK"/>
          <w:b w:val="0"/>
          <w:bCs/>
          <w:color w:val="auto"/>
          <w:sz w:val="32"/>
          <w:szCs w:val="32"/>
          <w:highlight w:val="none"/>
          <w:shd w:val="clear" w:fill="FFFFFF"/>
        </w:rPr>
        <w:t>2022年度一般公共预算财政拨款支出143.78万元，较上年决算数增加143.78万元</w:t>
      </w:r>
      <w:r>
        <w:rPr>
          <w:rFonts w:hint="eastAsia" w:ascii="方正仿宋_GBK" w:hAnsi="方正仿宋_GBK" w:eastAsia="方正仿宋_GBK" w:cs="方正仿宋_GBK"/>
          <w:b w:val="0"/>
          <w:bCs/>
          <w:color w:val="auto"/>
          <w:sz w:val="32"/>
          <w:szCs w:val="32"/>
          <w:highlight w:val="none"/>
          <w:shd w:val="clear" w:fill="FFFFFF"/>
          <w:lang w:eastAsia="zh-CN"/>
        </w:rPr>
        <w:t>。</w:t>
      </w:r>
      <w:bookmarkStart w:id="0" w:name="_GoBack"/>
      <w:bookmarkEnd w:id="0"/>
      <w:r>
        <w:rPr>
          <w:rFonts w:hint="eastAsia" w:ascii="方正仿宋_GBK" w:hAnsi="方正仿宋_GBK" w:eastAsia="方正仿宋_GBK" w:cs="方正仿宋_GBK"/>
          <w:b w:val="0"/>
          <w:bCs/>
          <w:color w:val="auto"/>
          <w:sz w:val="32"/>
          <w:szCs w:val="32"/>
          <w:highlight w:val="none"/>
          <w:shd w:val="clear" w:fill="FFFFFF"/>
        </w:rPr>
        <w:t>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较年初预算数减少36.22万元，下降20.1%。主要原因是</w:t>
      </w:r>
      <w:r>
        <w:rPr>
          <w:rFonts w:hint="eastAsia" w:ascii="方正仿宋_GBK" w:hAnsi="方正仿宋_GBK" w:eastAsia="方正仿宋_GBK" w:cs="方正仿宋_GBK"/>
          <w:b w:val="0"/>
          <w:bCs/>
          <w:color w:val="auto"/>
          <w:sz w:val="32"/>
          <w:szCs w:val="32"/>
          <w:highlight w:val="none"/>
          <w:shd w:val="clear" w:fill="FFFFFF"/>
          <w:lang w:eastAsia="zh-CN"/>
        </w:rPr>
        <w:t>公用经费减少、年终目标考核奖调整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3.结转结余情况。</w:t>
      </w:r>
      <w:r>
        <w:rPr>
          <w:rFonts w:hint="eastAsia" w:ascii="方正仿宋_GBK" w:hAnsi="方正仿宋_GBK" w:eastAsia="方正仿宋_GBK" w:cs="方正仿宋_GBK"/>
          <w:b w:val="0"/>
          <w:bCs/>
          <w:color w:val="auto"/>
          <w:sz w:val="32"/>
          <w:szCs w:val="32"/>
          <w:highlight w:val="none"/>
          <w:shd w:val="clear" w:fill="FFFFFF"/>
        </w:rPr>
        <w:t>2022年度年末一般公共预算财政拨款结转和结余0.11万元，较上年决算数增加0.11万元，主要原因是</w:t>
      </w:r>
      <w:r>
        <w:rPr>
          <w:rFonts w:hint="eastAsia" w:ascii="方正仿宋_GBK" w:hAnsi="方正仿宋_GBK" w:eastAsia="方正仿宋_GBK" w:cs="方正仿宋_GBK"/>
          <w:b w:val="0"/>
          <w:bCs/>
          <w:color w:val="auto"/>
          <w:sz w:val="32"/>
          <w:szCs w:val="32"/>
          <w:highlight w:val="none"/>
          <w:shd w:val="clear" w:fill="FFFFFF"/>
          <w:lang w:eastAsia="zh-CN"/>
        </w:rPr>
        <w:t>退役军人服务站公用经费结转</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4.比较情况。</w:t>
      </w:r>
      <w:r>
        <w:rPr>
          <w:rFonts w:hint="eastAsia" w:ascii="方正仿宋_GBK" w:hAnsi="方正仿宋_GBK" w:eastAsia="方正仿宋_GBK" w:cs="方正仿宋_GBK"/>
          <w:b w:val="0"/>
          <w:bCs/>
          <w:color w:val="auto"/>
          <w:sz w:val="32"/>
          <w:szCs w:val="32"/>
          <w:highlight w:val="none"/>
          <w:shd w:val="clear" w:fill="FFFFFF"/>
        </w:rPr>
        <w:t>本部门2022年度一般公共预算财政拨款支出主要用于以下几个方面：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1</w:t>
      </w:r>
      <w:r>
        <w:rPr>
          <w:rFonts w:hint="eastAsia" w:ascii="方正仿宋_GBK" w:hAnsi="方正仿宋_GBK" w:eastAsia="方正仿宋_GBK" w:cs="方正仿宋_GBK"/>
          <w:b w:val="0"/>
          <w:bCs/>
          <w:color w:val="auto"/>
          <w:sz w:val="32"/>
          <w:szCs w:val="32"/>
          <w:highlight w:val="none"/>
          <w:shd w:val="clear" w:fill="FFFFFF"/>
        </w:rPr>
        <w:t>）社会保障与就业支出127.45万元，占88.6%，较年初预算数减少37.55万元，下降22.8%，主要原因是</w:t>
      </w:r>
      <w:r>
        <w:rPr>
          <w:rFonts w:hint="eastAsia" w:ascii="方正仿宋_GBK" w:hAnsi="方正仿宋_GBK" w:eastAsia="方正仿宋_GBK" w:cs="方正仿宋_GBK"/>
          <w:b w:val="0"/>
          <w:bCs/>
          <w:color w:val="auto"/>
          <w:sz w:val="32"/>
          <w:szCs w:val="32"/>
          <w:highlight w:val="none"/>
          <w:shd w:val="clear" w:fill="FFFFFF"/>
          <w:lang w:eastAsia="zh-CN"/>
        </w:rPr>
        <w:t>公用经费减少、年终目标考核奖调整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2</w:t>
      </w:r>
      <w:r>
        <w:rPr>
          <w:rFonts w:hint="eastAsia" w:ascii="方正仿宋_GBK" w:hAnsi="方正仿宋_GBK" w:eastAsia="方正仿宋_GBK" w:cs="方正仿宋_GBK"/>
          <w:b w:val="0"/>
          <w:bCs/>
          <w:color w:val="auto"/>
          <w:sz w:val="32"/>
          <w:szCs w:val="32"/>
          <w:highlight w:val="none"/>
          <w:shd w:val="clear" w:fill="FFFFFF"/>
        </w:rPr>
        <w:t>）卫生健康支出7.65万元，占5.3%，较年初预算数减少0.35万元，下降4.4%，主要原因是</w:t>
      </w:r>
      <w:r>
        <w:rPr>
          <w:rFonts w:hint="eastAsia" w:ascii="方正仿宋_GBK" w:hAnsi="方正仿宋_GBK" w:eastAsia="方正仿宋_GBK" w:cs="方正仿宋_GBK"/>
          <w:b w:val="0"/>
          <w:bCs/>
          <w:color w:val="auto"/>
          <w:sz w:val="32"/>
          <w:szCs w:val="32"/>
          <w:highlight w:val="none"/>
          <w:shd w:val="clear" w:fill="FFFFFF"/>
          <w:lang w:eastAsia="zh-CN"/>
        </w:rPr>
        <w:t>社保基数调整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lang w:val="en-US" w:eastAsia="zh-CN"/>
        </w:rPr>
        <w:t>3</w:t>
      </w:r>
      <w:r>
        <w:rPr>
          <w:rFonts w:hint="eastAsia" w:ascii="方正仿宋_GBK" w:hAnsi="方正仿宋_GBK" w:eastAsia="方正仿宋_GBK" w:cs="方正仿宋_GBK"/>
          <w:b w:val="0"/>
          <w:bCs/>
          <w:color w:val="auto"/>
          <w:sz w:val="32"/>
          <w:szCs w:val="32"/>
          <w:highlight w:val="none"/>
          <w:shd w:val="clear" w:fill="FFFFFF"/>
        </w:rPr>
        <w:t>）住房保障支出8.68万元，占6%，较年初预算数增加1.68万元，增长24%，主要原因是</w:t>
      </w:r>
      <w:r>
        <w:rPr>
          <w:rFonts w:hint="eastAsia" w:ascii="方正仿宋_GBK" w:hAnsi="方正仿宋_GBK" w:eastAsia="方正仿宋_GBK" w:cs="方正仿宋_GBK"/>
          <w:b w:val="0"/>
          <w:bCs/>
          <w:color w:val="auto"/>
          <w:sz w:val="32"/>
          <w:szCs w:val="32"/>
          <w:highlight w:val="none"/>
          <w:shd w:val="clear" w:fill="FFFFFF"/>
          <w:lang w:eastAsia="zh-CN"/>
        </w:rPr>
        <w:t>公积金缴纳基数调整</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（四）一般公共预算财政拨款基本支出决算情况说明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shd w:val="clear" w:fill="FFFFFF"/>
        </w:rPr>
        <w:t>2022年度一般公共预算财政拨款基本支出143.78万元。其中：人员经费135.24万元，较上年决算数增加135.24万元，主要原因是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w:t>
      </w:r>
      <w:r>
        <w:rPr>
          <w:rFonts w:hint="eastAsia" w:ascii="方正仿宋_GBK" w:hAnsi="方正仿宋_GBK" w:eastAsia="方正仿宋_GBK" w:cs="方正仿宋_GBK"/>
          <w:b w:val="0"/>
          <w:bCs/>
          <w:color w:val="auto"/>
          <w:sz w:val="32"/>
          <w:szCs w:val="32"/>
          <w:highlight w:val="none"/>
          <w:shd w:val="clear" w:fill="FFFFFF"/>
        </w:rPr>
        <w:t>人员经费用途主要包括</w:t>
      </w:r>
      <w:r>
        <w:rPr>
          <w:rFonts w:hint="eastAsia" w:ascii="方正仿宋_GBK" w:hAnsi="方正仿宋_GBK" w:eastAsia="方正仿宋_GBK" w:cs="方正仿宋_GBK"/>
          <w:b w:val="0"/>
          <w:bCs/>
          <w:color w:val="auto"/>
          <w:sz w:val="32"/>
          <w:szCs w:val="32"/>
          <w:highlight w:val="none"/>
          <w:lang w:eastAsia="zh-CN"/>
        </w:rPr>
        <w:t>单位开支的在职职工的各类劳动报酬及</w:t>
      </w:r>
      <w:r>
        <w:rPr>
          <w:rFonts w:hint="eastAsia" w:ascii="方正仿宋_GBK" w:hAnsi="方正仿宋_GBK" w:eastAsia="方正仿宋_GBK" w:cs="方正仿宋_GBK"/>
          <w:b w:val="0"/>
          <w:bCs/>
          <w:color w:val="auto"/>
          <w:sz w:val="32"/>
          <w:szCs w:val="32"/>
          <w:highlight w:val="none"/>
        </w:rPr>
        <w:t>社保、公积金缴纳，退休人员补助等</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shd w:val="clear" w:fill="FFFFFF"/>
        </w:rPr>
        <w:t>公用经费8.54万元，较上年决算数增加8.54万元，主要原因是</w:t>
      </w:r>
      <w:r>
        <w:rPr>
          <w:rFonts w:hint="eastAsia" w:ascii="方正仿宋_GBK" w:hAnsi="方正仿宋_GBK" w:eastAsia="方正仿宋_GBK" w:cs="方正仿宋_GBK"/>
          <w:b w:val="0"/>
          <w:bCs/>
          <w:color w:val="auto"/>
          <w:sz w:val="32"/>
          <w:szCs w:val="32"/>
          <w:highlight w:val="none"/>
          <w:shd w:val="clear" w:fill="FFFFFF"/>
          <w:lang w:eastAsia="zh-CN"/>
        </w:rPr>
        <w:t>本单位以往年度为汇总填报，今年单独填报决算，无法直接比较。</w:t>
      </w:r>
      <w:r>
        <w:rPr>
          <w:rFonts w:hint="eastAsia" w:ascii="方正仿宋_GBK" w:hAnsi="方正仿宋_GBK" w:eastAsia="方正仿宋_GBK" w:cs="方正仿宋_GBK"/>
          <w:b w:val="0"/>
          <w:bCs/>
          <w:color w:val="auto"/>
          <w:sz w:val="32"/>
          <w:szCs w:val="32"/>
          <w:highlight w:val="none"/>
          <w:shd w:val="clear" w:fill="FFFFFF"/>
        </w:rPr>
        <w:t>公用经费用途主要包括</w:t>
      </w:r>
      <w:r>
        <w:rPr>
          <w:rFonts w:hint="eastAsia" w:ascii="方正仿宋_GBK" w:hAnsi="方正仿宋_GBK" w:eastAsia="方正仿宋_GBK" w:cs="方正仿宋_GBK"/>
          <w:b w:val="0"/>
          <w:bCs/>
          <w:color w:val="auto"/>
          <w:sz w:val="32"/>
          <w:szCs w:val="32"/>
          <w:highlight w:val="none"/>
          <w:shd w:val="clear" w:fill="FFFFFF"/>
          <w:lang w:eastAsia="zh-CN"/>
        </w:rPr>
        <w:t>办公费、水电费、工会经费等。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（五）政府性基金预算收支决算情况说明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Fonts w:hint="eastAsia" w:ascii="方正仿宋_GBK" w:hAnsi="方正仿宋_GBK" w:eastAsia="方正仿宋_GBK" w:cs="方正仿宋_GBK"/>
          <w:b w:val="0"/>
          <w:bCs/>
          <w:color w:val="auto"/>
          <w:sz w:val="32"/>
          <w:szCs w:val="32"/>
          <w:highlight w:val="none"/>
          <w:shd w:val="clear" w:fill="FFFFFF"/>
          <w:lang w:eastAsia="zh-CN"/>
        </w:rPr>
        <w:t>本部门2022年度无政府性基金预算财政拨款收支。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（六）国有资本经营预算财政拨款支出决算情况说明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lang w:eastAsia="zh-CN"/>
        </w:rPr>
      </w:pPr>
      <w:r>
        <w:rPr>
          <w:rFonts w:hint="eastAsia" w:ascii="方正仿宋_GBK" w:hAnsi="方正仿宋_GBK" w:eastAsia="方正仿宋_GBK" w:cs="方正仿宋_GBK"/>
          <w:b w:val="0"/>
          <w:bCs/>
          <w:color w:val="auto"/>
          <w:sz w:val="32"/>
          <w:szCs w:val="32"/>
          <w:highlight w:val="none"/>
          <w:shd w:val="clear" w:fill="FFFFFF"/>
          <w:lang w:eastAsia="zh-CN"/>
        </w:rPr>
        <w:t>本部门2022年度无国有资本经营预算财政拨款支出。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2022年度“三公”经费支出共计0.00万元，较年初预算数增加0.00万元，增长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2022年度本部门因公出国（境）费用0.00万元。费用支出较年初预算数增加0.00万元，增长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公务车购置费0.00万元。费用支出较年初预算数增加0.00万元，增长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公务车运行维护费0.00万元。费用支出较年初预算数增加0.00万元，增长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公务接待费0.00万元。费用支出较年初预算数增加0.00万元，增长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%。较上年支出数增加0.00万元，增长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（一）财政拨款会议费和培训费情况说明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本年度会议费支出0.00万元，较上年决算数增加0.00万元，增长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%。本年度培训费支出0.00万元，较上年决算数增加0.00万元，增长</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按照部门决算列报口径，我单位不在机关运行经费统计范围之内。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（四）政府采购支出说明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2022年度我单位未发生政府采购事项，无相关经费支出。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五、预算绩效管理情况说明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根据预算绩效管理要求，我</w:t>
      </w:r>
      <w:r>
        <w:rPr>
          <w:rFonts w:hint="eastAsia" w:ascii="方正仿宋_GBK" w:hAnsi="方正仿宋_GBK" w:eastAsia="方正仿宋_GBK" w:cs="方正仿宋_GBK"/>
          <w:b w:val="0"/>
          <w:bCs/>
          <w:color w:val="auto"/>
          <w:sz w:val="32"/>
          <w:szCs w:val="32"/>
          <w:highlight w:val="none"/>
          <w:shd w:val="clear" w:fill="FFFFFF"/>
          <w:lang w:eastAsia="zh-CN"/>
        </w:rPr>
        <w:t>单位</w:t>
      </w:r>
      <w:r>
        <w:rPr>
          <w:rFonts w:hint="eastAsia" w:ascii="方正仿宋_GBK" w:hAnsi="方正仿宋_GBK" w:eastAsia="方正仿宋_GBK" w:cs="方正仿宋_GBK"/>
          <w:b w:val="0"/>
          <w:bCs/>
          <w:color w:val="auto"/>
          <w:sz w:val="32"/>
          <w:szCs w:val="32"/>
          <w:highlight w:val="none"/>
          <w:shd w:val="clear" w:fill="FFFFFF"/>
        </w:rPr>
        <w:t>对</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个项目开展了绩效自评，其中，以填报自评表形式开展自评</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项，涉及资金</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万元；以委托第三方出具报告的方式开展绩效评价</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项，涉及资金</w:t>
      </w:r>
      <w:r>
        <w:rPr>
          <w:rFonts w:hint="eastAsia" w:ascii="方正仿宋_GBK" w:hAnsi="方正仿宋_GBK" w:eastAsia="方正仿宋_GBK" w:cs="方正仿宋_GBK"/>
          <w:b w:val="0"/>
          <w:bCs/>
          <w:color w:val="auto"/>
          <w:sz w:val="32"/>
          <w:szCs w:val="32"/>
          <w:highlight w:val="none"/>
          <w:shd w:val="clear" w:fill="FFFFFF"/>
          <w:lang w:val="en-US" w:eastAsia="zh-CN"/>
        </w:rPr>
        <w:t>0</w:t>
      </w:r>
      <w:r>
        <w:rPr>
          <w:rFonts w:hint="eastAsia" w:ascii="方正仿宋_GBK" w:hAnsi="方正仿宋_GBK" w:eastAsia="方正仿宋_GBK" w:cs="方正仿宋_GBK"/>
          <w:b w:val="0"/>
          <w:bCs/>
          <w:color w:val="auto"/>
          <w:sz w:val="32"/>
          <w:szCs w:val="32"/>
          <w:highlight w:val="none"/>
          <w:shd w:val="clear" w:fill="FFFFFF"/>
        </w:rPr>
        <w:t>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（二）绩效自评结果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仿宋_GBK" w:hAnsi="方正仿宋_GBK" w:eastAsia="方正仿宋_GBK" w:cs="方正仿宋_GBK"/>
          <w:b w:val="0"/>
          <w:bCs/>
          <w:color w:val="auto"/>
          <w:sz w:val="32"/>
          <w:szCs w:val="32"/>
          <w:highlight w:val="none"/>
          <w:shd w:val="clear" w:fill="FFFFFF"/>
          <w:lang w:eastAsia="zh-CN"/>
        </w:rPr>
      </w:pPr>
      <w:r>
        <w:rPr>
          <w:rStyle w:val="5"/>
          <w:rFonts w:hint="eastAsia" w:ascii="方正仿宋_GBK" w:hAnsi="方正仿宋_GBK" w:eastAsia="方正仿宋_GBK" w:cs="方正仿宋_GBK"/>
          <w:b w:val="0"/>
          <w:bCs/>
          <w:color w:val="auto"/>
          <w:sz w:val="32"/>
          <w:szCs w:val="32"/>
          <w:highlight w:val="none"/>
          <w:shd w:val="clear" w:fill="FFFFFF"/>
        </w:rPr>
        <w:t>1.绩效目标自评表。</w:t>
      </w:r>
      <w:r>
        <w:rPr>
          <w:rStyle w:val="5"/>
          <w:rFonts w:hint="eastAsia" w:ascii="方正仿宋_GBK" w:hAnsi="方正仿宋_GBK" w:eastAsia="方正仿宋_GBK" w:cs="方正仿宋_GBK"/>
          <w:b w:val="0"/>
          <w:bCs/>
          <w:color w:val="auto"/>
          <w:sz w:val="32"/>
          <w:szCs w:val="32"/>
          <w:highlight w:val="none"/>
          <w:shd w:val="clear" w:fill="FFFFFF"/>
          <w:lang w:eastAsia="zh-CN"/>
        </w:rPr>
        <w:t>（详见附表）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本单位无重点项目或项目支出。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2.绩效自评报告或案例。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本单位没有委托第三方开展绩效自评。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仿宋_GBK" w:hAnsi="方正仿宋_GBK" w:eastAsia="方正仿宋_GBK" w:cs="方正仿宋_GBK"/>
          <w:b w:val="0"/>
          <w:bCs/>
          <w:color w:val="auto"/>
          <w:sz w:val="32"/>
          <w:szCs w:val="32"/>
          <w:highlight w:val="none"/>
          <w:shd w:val="clear" w:fill="FFFFFF"/>
        </w:rPr>
        <w:t>3.关于绩效自评结果的说明。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本单位无重点项目或项目支出。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楷体_GBK" w:hAnsi="方正楷体_GBK" w:eastAsia="方正楷体_GBK" w:cs="方正楷体_GBK"/>
          <w:b w:val="0"/>
          <w:bCs/>
          <w:color w:val="auto"/>
          <w:sz w:val="32"/>
          <w:szCs w:val="32"/>
          <w:highlight w:val="none"/>
          <w:shd w:val="clear" w:fill="FFFFFF"/>
        </w:rPr>
      </w:pPr>
      <w:r>
        <w:rPr>
          <w:rStyle w:val="5"/>
          <w:rFonts w:hint="eastAsia" w:ascii="方正楷体_GBK" w:hAnsi="方正楷体_GBK" w:eastAsia="方正楷体_GBK" w:cs="方正楷体_GBK"/>
          <w:b w:val="0"/>
          <w:bCs/>
          <w:color w:val="auto"/>
          <w:sz w:val="32"/>
          <w:szCs w:val="32"/>
          <w:highlight w:val="none"/>
          <w:shd w:val="clear" w:fill="FFFFFF"/>
        </w:rPr>
        <w:t>（三）重点绩效评价结果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shd w:val="clear" w:fill="FFFFFF"/>
        </w:rPr>
      </w:pPr>
      <w:r>
        <w:rPr>
          <w:rFonts w:hint="eastAsia" w:ascii="方正仿宋_GBK" w:hAnsi="方正仿宋_GBK" w:eastAsia="方正仿宋_GBK" w:cs="方正仿宋_GBK"/>
          <w:b w:val="0"/>
          <w:bCs/>
          <w:color w:val="auto"/>
          <w:sz w:val="32"/>
          <w:szCs w:val="32"/>
          <w:highlight w:val="none"/>
          <w:shd w:val="clear" w:fill="FFFFFF"/>
        </w:rPr>
        <w:t>本单位没有重点绩效评价项目。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六、专业名词解释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（一）财政拨款收入</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（二）事业收入</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（三）经营收入</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（四）其他收入</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（五）使用非财政拨款结余</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（六）年初结转和结余</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（七）结余分配</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指单位按照国家有关规定，缴纳所得税、提取专用基金、转入非财政拨款结余等当年结余的分配情况。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（八）年末结转和结余</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（九）基本支出</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（十）项目支出</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（十一）经营支出</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（十二）“三公”经费</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（十三）机关运行经费</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（十四）工资福利支出（支出经济分类科目类级）</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（十五）商品和服务支出（支出经济分类科目类级）</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（十六）对个人和家庭的补助（支出经济分类科目类级）</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Style w:val="5"/>
          <w:rFonts w:hint="eastAsia" w:ascii="方正楷体_GBK" w:hAnsi="方正楷体_GBK" w:eastAsia="方正楷体_GBK" w:cs="方正楷体_GBK"/>
          <w:b w:val="0"/>
          <w:bCs/>
          <w:color w:val="auto"/>
          <w:sz w:val="32"/>
          <w:szCs w:val="32"/>
          <w:highlight w:val="none"/>
          <w:shd w:val="clear" w:fill="FFFFFF"/>
        </w:rPr>
        <w:t>（十七）其他资本性支出（支出经济分类科目类级）</w:t>
      </w:r>
      <w:r>
        <w:rPr>
          <w:rFonts w:hint="eastAsia" w:ascii="方正楷体_GBK" w:hAnsi="方正楷体_GBK" w:eastAsia="方正楷体_GBK" w:cs="方正楷体_GBK"/>
          <w:b w:val="0"/>
          <w:bCs/>
          <w:color w:val="auto"/>
          <w:sz w:val="32"/>
          <w:szCs w:val="32"/>
          <w:highlight w:val="none"/>
          <w:shd w:val="clear" w:fill="FFFFFF"/>
        </w:rPr>
        <w:t>：</w:t>
      </w:r>
      <w:r>
        <w:rPr>
          <w:rFonts w:hint="eastAsia" w:ascii="方正仿宋_GBK" w:hAnsi="方正仿宋_GBK" w:eastAsia="方正仿宋_GBK" w:cs="方正仿宋_GBK"/>
          <w:b w:val="0"/>
          <w:bCs/>
          <w:color w:val="auto"/>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Style w:val="5"/>
          <w:rFonts w:hint="eastAsia" w:ascii="方正黑体_GBK" w:hAnsi="方正黑体_GBK" w:eastAsia="方正黑体_GBK" w:cs="方正黑体_GBK"/>
          <w:b w:val="0"/>
          <w:bCs/>
          <w:color w:val="auto"/>
          <w:sz w:val="32"/>
          <w:szCs w:val="32"/>
          <w:highlight w:val="none"/>
          <w:shd w:val="clear" w:fill="FFFFFF"/>
        </w:rPr>
      </w:pPr>
      <w:r>
        <w:rPr>
          <w:rStyle w:val="5"/>
          <w:rFonts w:hint="eastAsia" w:ascii="方正黑体_GBK" w:hAnsi="方正黑体_GBK" w:eastAsia="方正黑体_GBK" w:cs="方正黑体_GBK"/>
          <w:b w:val="0"/>
          <w:bCs/>
          <w:color w:val="auto"/>
          <w:sz w:val="32"/>
          <w:szCs w:val="32"/>
          <w:highlight w:val="none"/>
          <w:shd w:val="clear" w:fill="FFFFFF"/>
        </w:rPr>
        <w:t>七、决算公开联系方式及信息反馈渠道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shd w:val="clear" w:fill="FFFFFF"/>
        </w:rPr>
        <w:t>本单位决算公开信息反馈和联系方式：</w:t>
      </w:r>
      <w:r>
        <w:rPr>
          <w:rFonts w:hint="eastAsia" w:ascii="方正仿宋_GBK" w:hAnsi="方正仿宋_GBK" w:eastAsia="方正仿宋_GBK" w:cs="方正仿宋_GBK"/>
          <w:b w:val="0"/>
          <w:bCs/>
          <w:color w:val="auto"/>
          <w:sz w:val="32"/>
          <w:szCs w:val="32"/>
          <w:highlight w:val="none"/>
          <w:shd w:val="clear" w:fill="FFFFFF"/>
          <w:lang w:eastAsia="zh-CN"/>
        </w:rPr>
        <w:t>杨同志</w:t>
      </w:r>
      <w:r>
        <w:rPr>
          <w:rFonts w:hint="eastAsia" w:ascii="方正仿宋_GBK" w:hAnsi="方正仿宋_GBK" w:eastAsia="方正仿宋_GBK" w:cs="方正仿宋_GBK"/>
          <w:b w:val="0"/>
          <w:bCs/>
          <w:color w:val="auto"/>
          <w:sz w:val="32"/>
          <w:szCs w:val="32"/>
          <w:highlight w:val="none"/>
          <w:shd w:val="clear" w:fill="FFFFFF"/>
          <w:lang w:val="en-US" w:eastAsia="zh-CN"/>
        </w:rPr>
        <w:t xml:space="preserve"> 72865345</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p>
    <w:sectPr>
      <w:pgSz w:w="11915" w:h="16851"/>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2277B"/>
    <w:rsid w:val="022C24DE"/>
    <w:rsid w:val="1252277B"/>
    <w:rsid w:val="20270A5D"/>
    <w:rsid w:val="412D2E42"/>
    <w:rsid w:val="46C63A79"/>
    <w:rsid w:val="54534C76"/>
    <w:rsid w:val="6E705558"/>
    <w:rsid w:val="7BE3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3736</Words>
  <Characters>4067</Characters>
  <Lines>0</Lines>
  <Paragraphs>0</Paragraphs>
  <TotalTime>6</TotalTime>
  <ScaleCrop>false</ScaleCrop>
  <LinksUpToDate>false</LinksUpToDate>
  <CharactersWithSpaces>4068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2023-09-19T08:17:00Z</dcterms:created>
  <dc:creator>Administrator</dc:creator>
  <cp:lastModifiedBy>Administrator</cp:lastModifiedBy>
  <dcterms:modified xsi:type="dcterms:W3CDTF">2023-09-22T02:15:20Z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74607CCDE3644D3ABC951E3DA0E91418</vt:lpwstr>
  </property>
</Properties>
</file>