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firstLineChars="0"/>
        <w:jc w:val="center"/>
        <w:textAlignment w:val="auto"/>
        <w:rPr>
          <w:rFonts w:hint="eastAsia" w:ascii="方正小标宋_GBK" w:hAnsi="方正小标宋_GBK" w:eastAsia="方正小标宋_GBK" w:cs="方正小标宋_GBK"/>
          <w:b w:val="0"/>
          <w:bCs/>
          <w:color w:val="auto"/>
          <w:sz w:val="44"/>
          <w:szCs w:val="44"/>
          <w:highlight w:val="none"/>
        </w:rPr>
      </w:pPr>
      <w:r>
        <w:rPr>
          <w:rStyle w:val="5"/>
          <w:rFonts w:hint="eastAsia" w:ascii="方正小标宋_GBK" w:hAnsi="方正小标宋_GBK" w:eastAsia="方正小标宋_GBK" w:cs="方正小标宋_GBK"/>
          <w:b w:val="0"/>
          <w:bCs/>
          <w:color w:val="auto"/>
          <w:sz w:val="44"/>
          <w:szCs w:val="44"/>
          <w:highlight w:val="none"/>
          <w:shd w:val="clear" w:fill="FFFFFF"/>
        </w:rPr>
        <w:t>重庆市涪陵区荔枝街道退役军人服务站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firstLineChars="0"/>
        <w:jc w:val="center"/>
        <w:textAlignment w:val="auto"/>
        <w:rPr>
          <w:rStyle w:val="5"/>
          <w:rFonts w:hint="eastAsia" w:ascii="方正小标宋_GBK" w:hAnsi="方正小标宋_GBK" w:eastAsia="方正小标宋_GBK" w:cs="方正小标宋_GBK"/>
          <w:b w:val="0"/>
          <w:bCs/>
          <w:color w:val="auto"/>
          <w:sz w:val="44"/>
          <w:szCs w:val="44"/>
          <w:highlight w:val="none"/>
          <w:shd w:val="clear" w:fill="FFFFFF"/>
        </w:rPr>
      </w:pPr>
      <w:r>
        <w:rPr>
          <w:rStyle w:val="5"/>
          <w:rFonts w:hint="eastAsia" w:ascii="方正小标宋_GBK" w:hAnsi="方正小标宋_GBK" w:eastAsia="方正小标宋_GBK" w:cs="方正小标宋_GBK"/>
          <w:b w:val="0"/>
          <w:bCs/>
          <w:color w:val="auto"/>
          <w:sz w:val="44"/>
          <w:szCs w:val="44"/>
          <w:highlight w:val="none"/>
          <w:shd w:val="clear" w:fill="FFFFFF"/>
        </w:rPr>
        <w:t>2022年度部门决算情况说明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center"/>
        <w:textAlignment w:val="auto"/>
        <w:rPr>
          <w:rStyle w:val="5"/>
          <w:rFonts w:hint="eastAsia" w:ascii="方正仿宋_GBK" w:hAnsi="方正仿宋_GBK" w:eastAsia="方正仿宋_GBK" w:cs="方正仿宋_GBK"/>
          <w:b w:val="0"/>
          <w:bCs/>
          <w:color w:val="auto"/>
          <w:sz w:val="32"/>
          <w:szCs w:val="32"/>
          <w:highlight w:val="none"/>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黑体_GBK" w:hAnsi="方正黑体_GBK" w:eastAsia="方正黑体_GBK" w:cs="方正黑体_GBK"/>
          <w:b w:val="0"/>
          <w:bCs/>
          <w:color w:val="auto"/>
          <w:sz w:val="32"/>
          <w:szCs w:val="32"/>
          <w:highlight w:val="none"/>
        </w:rPr>
      </w:pPr>
      <w:r>
        <w:rPr>
          <w:rStyle w:val="5"/>
          <w:rFonts w:hint="eastAsia" w:ascii="方正黑体_GBK" w:hAnsi="方正黑体_GBK" w:eastAsia="方正黑体_GBK" w:cs="方正黑体_GBK"/>
          <w:b w:val="0"/>
          <w:bCs/>
          <w:color w:val="auto"/>
          <w:sz w:val="32"/>
          <w:szCs w:val="32"/>
          <w:highlight w:val="none"/>
          <w:shd w:val="clear" w:fill="FFFFFF"/>
        </w:rPr>
        <w:t>一、部门基本情况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（一）职能职责</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rPr>
        <w:t>承担退役军人关系转接、联络接待、困难帮扶、信息采集、走访慰问等相关服务工作；完成街道党工委、办事处交办的其他任务。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（二）机构设置</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方正仿宋_GBK" w:hAnsi="方正仿宋_GBK" w:eastAsia="方正仿宋_GBK" w:cs="方正仿宋_GBK"/>
          <w:b w:val="0"/>
          <w:bCs/>
          <w:color w:val="auto"/>
          <w:sz w:val="32"/>
          <w:szCs w:val="32"/>
          <w:highlight w:val="none"/>
          <w:lang w:val="en-US" w:eastAsia="zh-CN"/>
        </w:rPr>
      </w:pPr>
      <w:r>
        <w:rPr>
          <w:rFonts w:hint="eastAsia" w:ascii="方正仿宋_GBK" w:hAnsi="方正仿宋_GBK" w:eastAsia="方正仿宋_GBK" w:cs="方正仿宋_GBK"/>
          <w:b w:val="0"/>
          <w:bCs/>
          <w:color w:val="auto"/>
          <w:sz w:val="32"/>
          <w:szCs w:val="32"/>
          <w:highlight w:val="none"/>
        </w:rPr>
        <w:t>重庆市涪陵区荔枝街道退役军人服务站规格正科级，类别公益一类，经费形式全额拨款</w:t>
      </w:r>
      <w:r>
        <w:rPr>
          <w:rFonts w:hint="eastAsia" w:ascii="方正仿宋_GBK" w:hAnsi="方正仿宋_GBK" w:eastAsia="方正仿宋_GBK" w:cs="方正仿宋_GBK"/>
          <w:b w:val="0"/>
          <w:bCs/>
          <w:color w:val="auto"/>
          <w:sz w:val="32"/>
          <w:szCs w:val="32"/>
          <w:highlight w:val="none"/>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黑体_GBK" w:hAnsi="方正黑体_GBK" w:eastAsia="方正黑体_GBK" w:cs="方正黑体_GBK"/>
          <w:b w:val="0"/>
          <w:bCs/>
          <w:color w:val="auto"/>
          <w:sz w:val="32"/>
          <w:szCs w:val="32"/>
          <w:highlight w:val="none"/>
          <w:shd w:val="clear" w:fill="FFFFFF"/>
        </w:rPr>
      </w:pPr>
      <w:r>
        <w:rPr>
          <w:rStyle w:val="5"/>
          <w:rFonts w:hint="eastAsia" w:ascii="方正黑体_GBK" w:hAnsi="方正黑体_GBK" w:eastAsia="方正黑体_GBK" w:cs="方正黑体_GBK"/>
          <w:b w:val="0"/>
          <w:bCs/>
          <w:color w:val="auto"/>
          <w:sz w:val="32"/>
          <w:szCs w:val="32"/>
          <w:highlight w:val="none"/>
          <w:shd w:val="clear" w:fill="FFFFFF"/>
        </w:rPr>
        <w:t>二、部门决算情况说明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（一）收入支出决算总体情况说明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仿宋_GBK" w:hAnsi="方正仿宋_GBK" w:eastAsia="方正仿宋_GBK" w:cs="方正仿宋_GBK"/>
          <w:b w:val="0"/>
          <w:bCs/>
          <w:color w:val="auto"/>
          <w:sz w:val="32"/>
          <w:szCs w:val="32"/>
          <w:highlight w:val="none"/>
          <w:shd w:val="clear" w:fill="FFFFFF"/>
        </w:rPr>
        <w:t>1.总体情况。</w:t>
      </w:r>
      <w:r>
        <w:rPr>
          <w:rFonts w:hint="eastAsia" w:ascii="方正仿宋_GBK" w:hAnsi="方正仿宋_GBK" w:eastAsia="方正仿宋_GBK" w:cs="方正仿宋_GBK"/>
          <w:b w:val="0"/>
          <w:bCs/>
          <w:color w:val="auto"/>
          <w:sz w:val="32"/>
          <w:szCs w:val="32"/>
          <w:highlight w:val="none"/>
          <w:shd w:val="clear" w:fill="FFFFFF"/>
        </w:rPr>
        <w:t>2022年度收入总计143.89万元，支出总计143.89万元。收支较上年决算数增加143.89万元</w:t>
      </w:r>
      <w:r>
        <w:rPr>
          <w:rFonts w:hint="eastAsia" w:ascii="方正仿宋_GBK" w:hAnsi="方正仿宋_GBK" w:eastAsia="方正仿宋_GBK" w:cs="方正仿宋_GBK"/>
          <w:b w:val="0"/>
          <w:bCs/>
          <w:color w:val="auto"/>
          <w:sz w:val="32"/>
          <w:szCs w:val="32"/>
          <w:highlight w:val="none"/>
          <w:shd w:val="clear" w:fill="FFFFFF"/>
          <w:lang w:eastAsia="zh-CN"/>
        </w:rPr>
        <w:t>，</w:t>
      </w:r>
      <w:r>
        <w:rPr>
          <w:rFonts w:hint="eastAsia" w:ascii="方正仿宋_GBK" w:hAnsi="方正仿宋_GBK" w:eastAsia="方正仿宋_GBK" w:cs="方正仿宋_GBK"/>
          <w:b w:val="0"/>
          <w:bCs/>
          <w:color w:val="auto"/>
          <w:sz w:val="32"/>
          <w:szCs w:val="32"/>
          <w:highlight w:val="none"/>
          <w:shd w:val="clear" w:fill="FFFFFF"/>
        </w:rPr>
        <w:t>主要原因是</w:t>
      </w:r>
      <w:r>
        <w:rPr>
          <w:rFonts w:hint="eastAsia" w:ascii="方正仿宋_GBK" w:hAnsi="方正仿宋_GBK" w:eastAsia="方正仿宋_GBK" w:cs="方正仿宋_GBK"/>
          <w:b w:val="0"/>
          <w:bCs/>
          <w:color w:val="auto"/>
          <w:sz w:val="32"/>
          <w:szCs w:val="32"/>
          <w:highlight w:val="none"/>
          <w:shd w:val="clear" w:fill="FFFFFF"/>
          <w:lang w:eastAsia="zh-CN"/>
        </w:rPr>
        <w:t>本单位以往年度为汇总填报，今年单独填报决算。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Style w:val="5"/>
          <w:rFonts w:hint="eastAsia" w:ascii="方正仿宋_GBK" w:hAnsi="方正仿宋_GBK" w:eastAsia="方正仿宋_GBK" w:cs="方正仿宋_GBK"/>
          <w:b w:val="0"/>
          <w:bCs/>
          <w:color w:val="auto"/>
          <w:sz w:val="32"/>
          <w:szCs w:val="32"/>
          <w:highlight w:val="none"/>
          <w:shd w:val="clear" w:fill="FFFFFF"/>
        </w:rPr>
        <w:t>2.收入情况。</w:t>
      </w:r>
      <w:r>
        <w:rPr>
          <w:rFonts w:hint="eastAsia" w:ascii="方正仿宋_GBK" w:hAnsi="方正仿宋_GBK" w:eastAsia="方正仿宋_GBK" w:cs="方正仿宋_GBK"/>
          <w:b w:val="0"/>
          <w:bCs/>
          <w:color w:val="auto"/>
          <w:sz w:val="32"/>
          <w:szCs w:val="32"/>
          <w:highlight w:val="none"/>
          <w:shd w:val="clear" w:fill="FFFFFF"/>
        </w:rPr>
        <w:t>2022年度收入合计143.89万元，较上年决算数增加143.89万元，主要原因是</w:t>
      </w:r>
      <w:r>
        <w:rPr>
          <w:rFonts w:hint="eastAsia" w:ascii="方正仿宋_GBK" w:hAnsi="方正仿宋_GBK" w:eastAsia="方正仿宋_GBK" w:cs="方正仿宋_GBK"/>
          <w:b w:val="0"/>
          <w:bCs/>
          <w:color w:val="auto"/>
          <w:sz w:val="32"/>
          <w:szCs w:val="32"/>
          <w:highlight w:val="none"/>
          <w:shd w:val="clear" w:fill="FFFFFF"/>
          <w:lang w:eastAsia="zh-CN"/>
        </w:rPr>
        <w:t>本单位以往年度为汇总填报，今年单独填报决算</w:t>
      </w:r>
      <w:r>
        <w:rPr>
          <w:rFonts w:hint="eastAsia" w:ascii="方正仿宋_GBK" w:hAnsi="方正仿宋_GBK" w:eastAsia="方正仿宋_GBK" w:cs="方正仿宋_GBK"/>
          <w:b w:val="0"/>
          <w:bCs/>
          <w:color w:val="auto"/>
          <w:sz w:val="32"/>
          <w:szCs w:val="32"/>
          <w:highlight w:val="none"/>
          <w:shd w:val="clear" w:fill="FFFFFF"/>
        </w:rPr>
        <w:t>。其中：财政拨款收入143.89万元，占100%。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Style w:val="5"/>
          <w:rFonts w:hint="eastAsia" w:ascii="方正仿宋_GBK" w:hAnsi="方正仿宋_GBK" w:eastAsia="方正仿宋_GBK" w:cs="方正仿宋_GBK"/>
          <w:b w:val="0"/>
          <w:bCs/>
          <w:color w:val="auto"/>
          <w:sz w:val="32"/>
          <w:szCs w:val="32"/>
          <w:highlight w:val="none"/>
          <w:shd w:val="clear" w:fill="FFFFFF"/>
        </w:rPr>
        <w:t>3.支出情况。</w:t>
      </w:r>
      <w:r>
        <w:rPr>
          <w:rFonts w:hint="eastAsia" w:ascii="方正仿宋_GBK" w:hAnsi="方正仿宋_GBK" w:eastAsia="方正仿宋_GBK" w:cs="方正仿宋_GBK"/>
          <w:b w:val="0"/>
          <w:bCs/>
          <w:color w:val="auto"/>
          <w:sz w:val="32"/>
          <w:szCs w:val="32"/>
          <w:highlight w:val="none"/>
          <w:shd w:val="clear" w:fill="FFFFFF"/>
        </w:rPr>
        <w:t>2022年度支出合计143.78万元，较上年决算增加143.78万元，主要原因是</w:t>
      </w:r>
      <w:r>
        <w:rPr>
          <w:rFonts w:hint="eastAsia" w:ascii="方正仿宋_GBK" w:hAnsi="方正仿宋_GBK" w:eastAsia="方正仿宋_GBK" w:cs="方正仿宋_GBK"/>
          <w:b w:val="0"/>
          <w:bCs/>
          <w:color w:val="auto"/>
          <w:sz w:val="32"/>
          <w:szCs w:val="32"/>
          <w:highlight w:val="none"/>
          <w:shd w:val="clear" w:fill="FFFFFF"/>
          <w:lang w:eastAsia="zh-CN"/>
        </w:rPr>
        <w:t>本单位以往年度为汇总填报，今年单独填报决算</w:t>
      </w:r>
      <w:r>
        <w:rPr>
          <w:rFonts w:hint="eastAsia" w:ascii="方正仿宋_GBK" w:hAnsi="方正仿宋_GBK" w:eastAsia="方正仿宋_GBK" w:cs="方正仿宋_GBK"/>
          <w:b w:val="0"/>
          <w:bCs/>
          <w:color w:val="auto"/>
          <w:sz w:val="32"/>
          <w:szCs w:val="32"/>
          <w:highlight w:val="none"/>
          <w:shd w:val="clear" w:fill="FFFFFF"/>
        </w:rPr>
        <w:t>。其中：基本支出143.78万元，占100%。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lang w:eastAsia="zh-CN"/>
        </w:rPr>
      </w:pPr>
      <w:r>
        <w:rPr>
          <w:rStyle w:val="5"/>
          <w:rFonts w:hint="eastAsia" w:ascii="方正仿宋_GBK" w:hAnsi="方正仿宋_GBK" w:eastAsia="方正仿宋_GBK" w:cs="方正仿宋_GBK"/>
          <w:b w:val="0"/>
          <w:bCs/>
          <w:color w:val="auto"/>
          <w:sz w:val="32"/>
          <w:szCs w:val="32"/>
          <w:highlight w:val="none"/>
          <w:shd w:val="clear" w:fill="FFFFFF"/>
        </w:rPr>
        <w:t>4.结转结余情况。</w:t>
      </w:r>
      <w:r>
        <w:rPr>
          <w:rFonts w:hint="eastAsia" w:ascii="方正仿宋_GBK" w:hAnsi="方正仿宋_GBK" w:eastAsia="方正仿宋_GBK" w:cs="方正仿宋_GBK"/>
          <w:b w:val="0"/>
          <w:bCs/>
          <w:color w:val="auto"/>
          <w:sz w:val="32"/>
          <w:szCs w:val="32"/>
          <w:highlight w:val="none"/>
          <w:shd w:val="clear" w:fill="FFFFFF"/>
        </w:rPr>
        <w:t>2022年度年末结转和结余0.11万元，较上年决算数增加0.11万元</w:t>
      </w:r>
      <w:r>
        <w:rPr>
          <w:rFonts w:hint="eastAsia" w:ascii="方正仿宋_GBK" w:hAnsi="方正仿宋_GBK" w:eastAsia="方正仿宋_GBK" w:cs="方正仿宋_GBK"/>
          <w:b w:val="0"/>
          <w:bCs/>
          <w:color w:val="auto"/>
          <w:sz w:val="32"/>
          <w:szCs w:val="32"/>
          <w:highlight w:val="none"/>
          <w:shd w:val="clear" w:fill="FFFFFF"/>
          <w:lang w:eastAsia="zh-CN"/>
        </w:rPr>
        <w:t>，</w:t>
      </w:r>
      <w:r>
        <w:rPr>
          <w:rFonts w:hint="eastAsia" w:ascii="方正仿宋_GBK" w:hAnsi="方正仿宋_GBK" w:eastAsia="方正仿宋_GBK" w:cs="方正仿宋_GBK"/>
          <w:b w:val="0"/>
          <w:bCs/>
          <w:color w:val="auto"/>
          <w:sz w:val="32"/>
          <w:szCs w:val="32"/>
          <w:highlight w:val="none"/>
          <w:shd w:val="clear" w:fill="FFFFFF"/>
        </w:rPr>
        <w:t>主要原因是</w:t>
      </w:r>
      <w:r>
        <w:rPr>
          <w:rFonts w:hint="eastAsia" w:ascii="方正仿宋_GBK" w:hAnsi="方正仿宋_GBK" w:eastAsia="方正仿宋_GBK" w:cs="方正仿宋_GBK"/>
          <w:b w:val="0"/>
          <w:bCs/>
          <w:color w:val="auto"/>
          <w:sz w:val="32"/>
          <w:szCs w:val="32"/>
          <w:highlight w:val="none"/>
          <w:shd w:val="clear" w:fill="FFFFFF"/>
          <w:lang w:eastAsia="zh-CN"/>
        </w:rPr>
        <w:t>退役军人服务站</w:t>
      </w:r>
      <w:r>
        <w:rPr>
          <w:rFonts w:hint="eastAsia" w:ascii="方正仿宋_GBK" w:hAnsi="方正仿宋_GBK" w:eastAsia="方正仿宋_GBK" w:cs="方正仿宋_GBK"/>
          <w:b w:val="0"/>
          <w:bCs/>
          <w:color w:val="auto"/>
          <w:sz w:val="32"/>
          <w:szCs w:val="32"/>
          <w:highlight w:val="none"/>
          <w:shd w:val="clear" w:fill="FFFFFF"/>
        </w:rPr>
        <w:t>公用经费结转</w:t>
      </w:r>
      <w:r>
        <w:rPr>
          <w:rFonts w:hint="eastAsia" w:ascii="方正仿宋_GBK" w:hAnsi="方正仿宋_GBK" w:eastAsia="方正仿宋_GBK" w:cs="方正仿宋_GBK"/>
          <w:b w:val="0"/>
          <w:bCs/>
          <w:color w:val="auto"/>
          <w:sz w:val="32"/>
          <w:szCs w:val="32"/>
          <w:highlight w:val="none"/>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（二）财政拨款收入支出决算总体情况说明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Fonts w:hint="eastAsia" w:ascii="方正仿宋_GBK" w:hAnsi="方正仿宋_GBK" w:eastAsia="方正仿宋_GBK" w:cs="方正仿宋_GBK"/>
          <w:b w:val="0"/>
          <w:bCs/>
          <w:color w:val="auto"/>
          <w:sz w:val="32"/>
          <w:szCs w:val="32"/>
          <w:highlight w:val="none"/>
          <w:shd w:val="clear" w:fill="FFFFFF"/>
        </w:rPr>
        <w:t>2022年度财政拨款收、支总计143.89万元。与2021年相比，财政拨款收、支总计各增加143.89万元，主要原因是</w:t>
      </w:r>
      <w:r>
        <w:rPr>
          <w:rFonts w:hint="eastAsia" w:ascii="方正仿宋_GBK" w:hAnsi="方正仿宋_GBK" w:eastAsia="方正仿宋_GBK" w:cs="方正仿宋_GBK"/>
          <w:b w:val="0"/>
          <w:bCs/>
          <w:color w:val="auto"/>
          <w:sz w:val="32"/>
          <w:szCs w:val="32"/>
          <w:highlight w:val="none"/>
          <w:shd w:val="clear" w:fill="FFFFFF"/>
          <w:lang w:eastAsia="zh-CN"/>
        </w:rPr>
        <w:t>本单位以往年度为汇总填报，今年单独填报决算</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（三）一般公共预算财政拨款收入支出决算情况说明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仿宋_GBK" w:hAnsi="方正仿宋_GBK" w:eastAsia="方正仿宋_GBK" w:cs="方正仿宋_GBK"/>
          <w:b w:val="0"/>
          <w:bCs/>
          <w:color w:val="auto"/>
          <w:sz w:val="32"/>
          <w:szCs w:val="32"/>
          <w:highlight w:val="none"/>
          <w:shd w:val="clear" w:fill="FFFFFF"/>
        </w:rPr>
        <w:t>1.收入情况。</w:t>
      </w:r>
      <w:r>
        <w:rPr>
          <w:rFonts w:hint="eastAsia" w:ascii="方正仿宋_GBK" w:hAnsi="方正仿宋_GBK" w:eastAsia="方正仿宋_GBK" w:cs="方正仿宋_GBK"/>
          <w:b w:val="0"/>
          <w:bCs/>
          <w:color w:val="auto"/>
          <w:sz w:val="32"/>
          <w:szCs w:val="32"/>
          <w:highlight w:val="none"/>
          <w:shd w:val="clear" w:fill="FFFFFF"/>
        </w:rPr>
        <w:t>2022年度一般公共预算财政拨款收入143.89万元，较上年决算数增加143.89万元</w:t>
      </w:r>
      <w:r>
        <w:rPr>
          <w:rFonts w:hint="eastAsia" w:ascii="方正仿宋_GBK" w:hAnsi="方正仿宋_GBK" w:eastAsia="方正仿宋_GBK" w:cs="方正仿宋_GBK"/>
          <w:b w:val="0"/>
          <w:bCs/>
          <w:color w:val="auto"/>
          <w:sz w:val="32"/>
          <w:szCs w:val="32"/>
          <w:highlight w:val="none"/>
          <w:shd w:val="clear" w:fill="FFFFFF"/>
          <w:lang w:eastAsia="zh-CN"/>
        </w:rPr>
        <w:t>，</w:t>
      </w:r>
      <w:r>
        <w:rPr>
          <w:rFonts w:hint="eastAsia" w:ascii="方正仿宋_GBK" w:hAnsi="方正仿宋_GBK" w:eastAsia="方正仿宋_GBK" w:cs="方正仿宋_GBK"/>
          <w:b w:val="0"/>
          <w:bCs/>
          <w:color w:val="auto"/>
          <w:sz w:val="32"/>
          <w:szCs w:val="32"/>
          <w:highlight w:val="none"/>
          <w:shd w:val="clear" w:fill="FFFFFF"/>
        </w:rPr>
        <w:t>主要原因是</w:t>
      </w:r>
      <w:r>
        <w:rPr>
          <w:rFonts w:hint="eastAsia" w:ascii="方正仿宋_GBK" w:hAnsi="方正仿宋_GBK" w:eastAsia="方正仿宋_GBK" w:cs="方正仿宋_GBK"/>
          <w:b w:val="0"/>
          <w:bCs/>
          <w:color w:val="auto"/>
          <w:sz w:val="32"/>
          <w:szCs w:val="32"/>
          <w:highlight w:val="none"/>
          <w:shd w:val="clear" w:fill="FFFFFF"/>
          <w:lang w:eastAsia="zh-CN"/>
        </w:rPr>
        <w:t>本单位以往年度为汇总填报，今年单独填报决算</w:t>
      </w:r>
      <w:r>
        <w:rPr>
          <w:rFonts w:hint="eastAsia" w:ascii="方正仿宋_GBK" w:hAnsi="方正仿宋_GBK" w:eastAsia="方正仿宋_GBK" w:cs="方正仿宋_GBK"/>
          <w:b w:val="0"/>
          <w:bCs/>
          <w:color w:val="auto"/>
          <w:sz w:val="32"/>
          <w:szCs w:val="32"/>
          <w:highlight w:val="none"/>
          <w:shd w:val="clear" w:fill="FFFFFF"/>
        </w:rPr>
        <w:t>。较年初预算数减少36.11万元，下降20.1%。主要原因是</w:t>
      </w:r>
      <w:r>
        <w:rPr>
          <w:rFonts w:hint="eastAsia" w:ascii="方正仿宋_GBK" w:hAnsi="方正仿宋_GBK" w:eastAsia="方正仿宋_GBK" w:cs="方正仿宋_GBK"/>
          <w:b w:val="0"/>
          <w:bCs/>
          <w:color w:val="auto"/>
          <w:sz w:val="32"/>
          <w:szCs w:val="32"/>
          <w:highlight w:val="none"/>
          <w:shd w:val="clear" w:color="auto" w:fill="FFFFFF"/>
          <w:lang w:eastAsia="zh-CN"/>
        </w:rPr>
        <w:t>受疫情影响，经济下滑，税收收入下降。</w:t>
      </w:r>
      <w:r>
        <w:rPr>
          <w:rFonts w:hint="eastAsia" w:ascii="方正仿宋_GBK" w:hAnsi="方正仿宋_GBK" w:eastAsia="方正仿宋_GBK" w:cs="方正仿宋_GBK"/>
          <w:b w:val="0"/>
          <w:bCs/>
          <w:color w:val="auto"/>
          <w:sz w:val="32"/>
          <w:szCs w:val="32"/>
          <w:highlight w:val="none"/>
          <w:shd w:val="clear" w:fill="FFFFFF"/>
        </w:rPr>
        <w:t>此外，年初财政拨款结转和结余0.00万元。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Style w:val="5"/>
          <w:rFonts w:hint="eastAsia" w:ascii="方正仿宋_GBK" w:hAnsi="方正仿宋_GBK" w:eastAsia="方正仿宋_GBK" w:cs="方正仿宋_GBK"/>
          <w:b w:val="0"/>
          <w:bCs/>
          <w:color w:val="auto"/>
          <w:sz w:val="32"/>
          <w:szCs w:val="32"/>
          <w:highlight w:val="none"/>
          <w:shd w:val="clear" w:fill="FFFFFF"/>
        </w:rPr>
        <w:t>2.支出情况。</w:t>
      </w:r>
      <w:r>
        <w:rPr>
          <w:rFonts w:hint="eastAsia" w:ascii="方正仿宋_GBK" w:hAnsi="方正仿宋_GBK" w:eastAsia="方正仿宋_GBK" w:cs="方正仿宋_GBK"/>
          <w:b w:val="0"/>
          <w:bCs/>
          <w:color w:val="auto"/>
          <w:sz w:val="32"/>
          <w:szCs w:val="32"/>
          <w:highlight w:val="none"/>
          <w:shd w:val="clear" w:fill="FFFFFF"/>
        </w:rPr>
        <w:t>2022年度一般公共预算财政拨款支出143.78万元，较上年决算数增加143.78万元</w:t>
      </w:r>
      <w:r>
        <w:rPr>
          <w:rFonts w:hint="eastAsia" w:ascii="方正仿宋_GBK" w:hAnsi="方正仿宋_GBK" w:eastAsia="方正仿宋_GBK" w:cs="方正仿宋_GBK"/>
          <w:b w:val="0"/>
          <w:bCs/>
          <w:color w:val="auto"/>
          <w:sz w:val="32"/>
          <w:szCs w:val="32"/>
          <w:highlight w:val="none"/>
          <w:shd w:val="clear" w:fill="FFFFFF"/>
          <w:lang w:eastAsia="zh-CN"/>
        </w:rPr>
        <w:t>。</w:t>
      </w:r>
      <w:bookmarkStart w:id="0" w:name="_GoBack"/>
      <w:bookmarkEnd w:id="0"/>
      <w:r>
        <w:rPr>
          <w:rFonts w:hint="eastAsia" w:ascii="方正仿宋_GBK" w:hAnsi="方正仿宋_GBK" w:eastAsia="方正仿宋_GBK" w:cs="方正仿宋_GBK"/>
          <w:b w:val="0"/>
          <w:bCs/>
          <w:color w:val="auto"/>
          <w:sz w:val="32"/>
          <w:szCs w:val="32"/>
          <w:highlight w:val="none"/>
          <w:shd w:val="clear" w:fill="FFFFFF"/>
        </w:rPr>
        <w:t>主要原因是</w:t>
      </w:r>
      <w:r>
        <w:rPr>
          <w:rFonts w:hint="eastAsia" w:ascii="方正仿宋_GBK" w:hAnsi="方正仿宋_GBK" w:eastAsia="方正仿宋_GBK" w:cs="方正仿宋_GBK"/>
          <w:b w:val="0"/>
          <w:bCs/>
          <w:color w:val="auto"/>
          <w:sz w:val="32"/>
          <w:szCs w:val="32"/>
          <w:highlight w:val="none"/>
          <w:shd w:val="clear" w:fill="FFFFFF"/>
          <w:lang w:eastAsia="zh-CN"/>
        </w:rPr>
        <w:t>本单位以往年度为汇总填报，今年单独填报决算。</w:t>
      </w:r>
      <w:r>
        <w:rPr>
          <w:rFonts w:hint="eastAsia" w:ascii="方正仿宋_GBK" w:hAnsi="方正仿宋_GBK" w:eastAsia="方正仿宋_GBK" w:cs="方正仿宋_GBK"/>
          <w:b w:val="0"/>
          <w:bCs/>
          <w:color w:val="auto"/>
          <w:sz w:val="32"/>
          <w:szCs w:val="32"/>
          <w:highlight w:val="none"/>
          <w:shd w:val="clear" w:fill="FFFFFF"/>
        </w:rPr>
        <w:t>较年初预算数减少36.22万元，下降20.1%。主要原因是</w:t>
      </w:r>
      <w:r>
        <w:rPr>
          <w:rFonts w:hint="eastAsia" w:ascii="方正仿宋_GBK" w:hAnsi="方正仿宋_GBK" w:eastAsia="方正仿宋_GBK" w:cs="方正仿宋_GBK"/>
          <w:b w:val="0"/>
          <w:bCs/>
          <w:color w:val="auto"/>
          <w:sz w:val="32"/>
          <w:szCs w:val="32"/>
          <w:highlight w:val="none"/>
          <w:shd w:val="clear" w:fill="FFFFFF"/>
          <w:lang w:eastAsia="zh-CN"/>
        </w:rPr>
        <w:t>公用经费减少、年终目标考核奖调整</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仿宋_GBK" w:hAnsi="方正仿宋_GBK" w:eastAsia="方正仿宋_GBK" w:cs="方正仿宋_GBK"/>
          <w:b w:val="0"/>
          <w:bCs/>
          <w:color w:val="auto"/>
          <w:sz w:val="32"/>
          <w:szCs w:val="32"/>
          <w:highlight w:val="none"/>
          <w:shd w:val="clear" w:fill="FFFFFF"/>
        </w:rPr>
        <w:t>3.结转结余情况。</w:t>
      </w:r>
      <w:r>
        <w:rPr>
          <w:rFonts w:hint="eastAsia" w:ascii="方正仿宋_GBK" w:hAnsi="方正仿宋_GBK" w:eastAsia="方正仿宋_GBK" w:cs="方正仿宋_GBK"/>
          <w:b w:val="0"/>
          <w:bCs/>
          <w:color w:val="auto"/>
          <w:sz w:val="32"/>
          <w:szCs w:val="32"/>
          <w:highlight w:val="none"/>
          <w:shd w:val="clear" w:fill="FFFFFF"/>
        </w:rPr>
        <w:t>2022年度年末一般公共预算财政拨款结转和结余0.11万元，较上年决算数增加0.11万元，主要原因是</w:t>
      </w:r>
      <w:r>
        <w:rPr>
          <w:rFonts w:hint="eastAsia" w:ascii="方正仿宋_GBK" w:hAnsi="方正仿宋_GBK" w:eastAsia="方正仿宋_GBK" w:cs="方正仿宋_GBK"/>
          <w:b w:val="0"/>
          <w:bCs/>
          <w:color w:val="auto"/>
          <w:sz w:val="32"/>
          <w:szCs w:val="32"/>
          <w:highlight w:val="none"/>
          <w:shd w:val="clear" w:fill="FFFFFF"/>
          <w:lang w:eastAsia="zh-CN"/>
        </w:rPr>
        <w:t>退役军人服务站公用经费结转</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仿宋_GBK" w:hAnsi="方正仿宋_GBK" w:eastAsia="方正仿宋_GBK" w:cs="方正仿宋_GBK"/>
          <w:b w:val="0"/>
          <w:bCs/>
          <w:color w:val="auto"/>
          <w:sz w:val="32"/>
          <w:szCs w:val="32"/>
          <w:highlight w:val="none"/>
          <w:shd w:val="clear" w:fill="FFFFFF"/>
        </w:rPr>
        <w:t>4.比较情况。</w:t>
      </w:r>
      <w:r>
        <w:rPr>
          <w:rFonts w:hint="eastAsia" w:ascii="方正仿宋_GBK" w:hAnsi="方正仿宋_GBK" w:eastAsia="方正仿宋_GBK" w:cs="方正仿宋_GBK"/>
          <w:b w:val="0"/>
          <w:bCs/>
          <w:color w:val="auto"/>
          <w:sz w:val="32"/>
          <w:szCs w:val="32"/>
          <w:highlight w:val="none"/>
          <w:shd w:val="clear" w:fill="FFFFFF"/>
        </w:rPr>
        <w:t>本部门2022年度一般公共预算财政拨款支出主要用于以下几个方面：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lang w:val="en-US" w:eastAsia="zh-CN"/>
        </w:rPr>
        <w:t>1</w:t>
      </w:r>
      <w:r>
        <w:rPr>
          <w:rFonts w:hint="eastAsia" w:ascii="方正仿宋_GBK" w:hAnsi="方正仿宋_GBK" w:eastAsia="方正仿宋_GBK" w:cs="方正仿宋_GBK"/>
          <w:b w:val="0"/>
          <w:bCs/>
          <w:color w:val="auto"/>
          <w:sz w:val="32"/>
          <w:szCs w:val="32"/>
          <w:highlight w:val="none"/>
          <w:shd w:val="clear" w:fill="FFFFFF"/>
        </w:rPr>
        <w:t>）社会保障与就业支出127.45万元，占88.6%，较年初预算数减少37.55万元，下降22.8%，主要原因是</w:t>
      </w:r>
      <w:r>
        <w:rPr>
          <w:rFonts w:hint="eastAsia" w:ascii="方正仿宋_GBK" w:hAnsi="方正仿宋_GBK" w:eastAsia="方正仿宋_GBK" w:cs="方正仿宋_GBK"/>
          <w:b w:val="0"/>
          <w:bCs/>
          <w:color w:val="auto"/>
          <w:sz w:val="32"/>
          <w:szCs w:val="32"/>
          <w:highlight w:val="none"/>
          <w:shd w:val="clear" w:fill="FFFFFF"/>
          <w:lang w:eastAsia="zh-CN"/>
        </w:rPr>
        <w:t>公用经费减少、年终目标考核奖调整</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Fonts w:hint="eastAsia" w:ascii="方正仿宋_GBK" w:hAnsi="方正仿宋_GBK" w:eastAsia="方正仿宋_GBK" w:cs="方正仿宋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lang w:val="en-US" w:eastAsia="zh-CN"/>
        </w:rPr>
        <w:t>2</w:t>
      </w:r>
      <w:r>
        <w:rPr>
          <w:rFonts w:hint="eastAsia" w:ascii="方正仿宋_GBK" w:hAnsi="方正仿宋_GBK" w:eastAsia="方正仿宋_GBK" w:cs="方正仿宋_GBK"/>
          <w:b w:val="0"/>
          <w:bCs/>
          <w:color w:val="auto"/>
          <w:sz w:val="32"/>
          <w:szCs w:val="32"/>
          <w:highlight w:val="none"/>
          <w:shd w:val="clear" w:fill="FFFFFF"/>
        </w:rPr>
        <w:t>）卫生健康支出7.65万元，占5.3%，较年初预算数减少0.35万元，下降4.4%，主要原因是</w:t>
      </w:r>
      <w:r>
        <w:rPr>
          <w:rFonts w:hint="eastAsia" w:ascii="方正仿宋_GBK" w:hAnsi="方正仿宋_GBK" w:eastAsia="方正仿宋_GBK" w:cs="方正仿宋_GBK"/>
          <w:b w:val="0"/>
          <w:bCs/>
          <w:color w:val="auto"/>
          <w:sz w:val="32"/>
          <w:szCs w:val="32"/>
          <w:highlight w:val="none"/>
          <w:shd w:val="clear" w:fill="FFFFFF"/>
          <w:lang w:eastAsia="zh-CN"/>
        </w:rPr>
        <w:t>社保基数调整</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Fonts w:hint="eastAsia" w:ascii="方正仿宋_GBK" w:hAnsi="方正仿宋_GBK" w:eastAsia="方正仿宋_GBK" w:cs="方正仿宋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lang w:val="en-US" w:eastAsia="zh-CN"/>
        </w:rPr>
        <w:t>3</w:t>
      </w:r>
      <w:r>
        <w:rPr>
          <w:rFonts w:hint="eastAsia" w:ascii="方正仿宋_GBK" w:hAnsi="方正仿宋_GBK" w:eastAsia="方正仿宋_GBK" w:cs="方正仿宋_GBK"/>
          <w:b w:val="0"/>
          <w:bCs/>
          <w:color w:val="auto"/>
          <w:sz w:val="32"/>
          <w:szCs w:val="32"/>
          <w:highlight w:val="none"/>
          <w:shd w:val="clear" w:fill="FFFFFF"/>
        </w:rPr>
        <w:t>）住房保障支出8.68万元，占6%，较年初预算数增加1.68万元，增长24%，主要原因是</w:t>
      </w:r>
      <w:r>
        <w:rPr>
          <w:rFonts w:hint="eastAsia" w:ascii="方正仿宋_GBK" w:hAnsi="方正仿宋_GBK" w:eastAsia="方正仿宋_GBK" w:cs="方正仿宋_GBK"/>
          <w:b w:val="0"/>
          <w:bCs/>
          <w:color w:val="auto"/>
          <w:sz w:val="32"/>
          <w:szCs w:val="32"/>
          <w:highlight w:val="none"/>
          <w:shd w:val="clear" w:fill="FFFFFF"/>
          <w:lang w:eastAsia="zh-CN"/>
        </w:rPr>
        <w:t>公积金缴纳基数调整</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（四）一般公共预算财政拨款基本支出决算情况说明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lang w:eastAsia="zh-CN"/>
        </w:rPr>
      </w:pPr>
      <w:r>
        <w:rPr>
          <w:rFonts w:hint="eastAsia" w:ascii="方正仿宋_GBK" w:hAnsi="方正仿宋_GBK" w:eastAsia="方正仿宋_GBK" w:cs="方正仿宋_GBK"/>
          <w:b w:val="0"/>
          <w:bCs/>
          <w:color w:val="auto"/>
          <w:sz w:val="32"/>
          <w:szCs w:val="32"/>
          <w:highlight w:val="none"/>
          <w:shd w:val="clear" w:fill="FFFFFF"/>
        </w:rPr>
        <w:t>2022年度一般公共预算财政拨款基本支出143.78万元。其中：人员经费135.24万元，较上年决算数增加135.24万元，主要原因是</w:t>
      </w:r>
      <w:r>
        <w:rPr>
          <w:rFonts w:hint="eastAsia" w:ascii="方正仿宋_GBK" w:hAnsi="方正仿宋_GBK" w:eastAsia="方正仿宋_GBK" w:cs="方正仿宋_GBK"/>
          <w:b w:val="0"/>
          <w:bCs/>
          <w:color w:val="auto"/>
          <w:sz w:val="32"/>
          <w:szCs w:val="32"/>
          <w:highlight w:val="none"/>
          <w:shd w:val="clear" w:fill="FFFFFF"/>
          <w:lang w:eastAsia="zh-CN"/>
        </w:rPr>
        <w:t>本单位以往年度为汇总填报，今年单独填报决算。</w:t>
      </w:r>
      <w:r>
        <w:rPr>
          <w:rFonts w:hint="eastAsia" w:ascii="方正仿宋_GBK" w:hAnsi="方正仿宋_GBK" w:eastAsia="方正仿宋_GBK" w:cs="方正仿宋_GBK"/>
          <w:b w:val="0"/>
          <w:bCs/>
          <w:color w:val="auto"/>
          <w:sz w:val="32"/>
          <w:szCs w:val="32"/>
          <w:highlight w:val="none"/>
          <w:shd w:val="clear" w:fill="FFFFFF"/>
        </w:rPr>
        <w:t>人员经费用途主要包括</w:t>
      </w:r>
      <w:r>
        <w:rPr>
          <w:rFonts w:hint="eastAsia" w:ascii="方正仿宋_GBK" w:hAnsi="方正仿宋_GBK" w:eastAsia="方正仿宋_GBK" w:cs="方正仿宋_GBK"/>
          <w:b w:val="0"/>
          <w:bCs/>
          <w:color w:val="auto"/>
          <w:sz w:val="32"/>
          <w:szCs w:val="32"/>
          <w:highlight w:val="none"/>
          <w:lang w:eastAsia="zh-CN"/>
        </w:rPr>
        <w:t>单位开支的在职职工的各类劳动报酬及</w:t>
      </w:r>
      <w:r>
        <w:rPr>
          <w:rFonts w:hint="eastAsia" w:ascii="方正仿宋_GBK" w:hAnsi="方正仿宋_GBK" w:eastAsia="方正仿宋_GBK" w:cs="方正仿宋_GBK"/>
          <w:b w:val="0"/>
          <w:bCs/>
          <w:color w:val="auto"/>
          <w:sz w:val="32"/>
          <w:szCs w:val="32"/>
          <w:highlight w:val="none"/>
        </w:rPr>
        <w:t>社保、公积金缴纳，退休人员补助等</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shd w:val="clear" w:fill="FFFFFF"/>
        </w:rPr>
        <w:t>公用经费8.54万元，较上年决算数增加8.54万元，主要原因是</w:t>
      </w:r>
      <w:r>
        <w:rPr>
          <w:rFonts w:hint="eastAsia" w:ascii="方正仿宋_GBK" w:hAnsi="方正仿宋_GBK" w:eastAsia="方正仿宋_GBK" w:cs="方正仿宋_GBK"/>
          <w:b w:val="0"/>
          <w:bCs/>
          <w:color w:val="auto"/>
          <w:sz w:val="32"/>
          <w:szCs w:val="32"/>
          <w:highlight w:val="none"/>
          <w:shd w:val="clear" w:fill="FFFFFF"/>
          <w:lang w:eastAsia="zh-CN"/>
        </w:rPr>
        <w:t>本单位以往年度为汇总填报，今年单独填报决算，无法直接比较。</w:t>
      </w:r>
      <w:r>
        <w:rPr>
          <w:rFonts w:hint="eastAsia" w:ascii="方正仿宋_GBK" w:hAnsi="方正仿宋_GBK" w:eastAsia="方正仿宋_GBK" w:cs="方正仿宋_GBK"/>
          <w:b w:val="0"/>
          <w:bCs/>
          <w:color w:val="auto"/>
          <w:sz w:val="32"/>
          <w:szCs w:val="32"/>
          <w:highlight w:val="none"/>
          <w:shd w:val="clear" w:fill="FFFFFF"/>
        </w:rPr>
        <w:t>公用经费用途主要包括</w:t>
      </w:r>
      <w:r>
        <w:rPr>
          <w:rFonts w:hint="eastAsia" w:ascii="方正仿宋_GBK" w:hAnsi="方正仿宋_GBK" w:eastAsia="方正仿宋_GBK" w:cs="方正仿宋_GBK"/>
          <w:b w:val="0"/>
          <w:bCs/>
          <w:color w:val="auto"/>
          <w:sz w:val="32"/>
          <w:szCs w:val="32"/>
          <w:highlight w:val="none"/>
          <w:shd w:val="clear" w:fill="FFFFFF"/>
          <w:lang w:eastAsia="zh-CN"/>
        </w:rPr>
        <w:t>办公费、水电费、工会经费等。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（五）政府性基金预算收支决算情况说明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lang w:eastAsia="zh-CN"/>
        </w:rPr>
      </w:pPr>
      <w:r>
        <w:rPr>
          <w:rFonts w:hint="eastAsia" w:ascii="方正仿宋_GBK" w:hAnsi="方正仿宋_GBK" w:eastAsia="方正仿宋_GBK" w:cs="方正仿宋_GBK"/>
          <w:b w:val="0"/>
          <w:bCs/>
          <w:color w:val="auto"/>
          <w:sz w:val="32"/>
          <w:szCs w:val="32"/>
          <w:highlight w:val="none"/>
          <w:shd w:val="clear" w:fill="FFFFFF"/>
          <w:lang w:eastAsia="zh-CN"/>
        </w:rPr>
        <w:t>本部门2022年度无政府性基金预算财政拨款收支。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（六）国有资本经营预算财政拨款支出决算情况说明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lang w:eastAsia="zh-CN"/>
        </w:rPr>
      </w:pPr>
      <w:r>
        <w:rPr>
          <w:rFonts w:hint="eastAsia" w:ascii="方正仿宋_GBK" w:hAnsi="方正仿宋_GBK" w:eastAsia="方正仿宋_GBK" w:cs="方正仿宋_GBK"/>
          <w:b w:val="0"/>
          <w:bCs/>
          <w:color w:val="auto"/>
          <w:sz w:val="32"/>
          <w:szCs w:val="32"/>
          <w:highlight w:val="none"/>
          <w:shd w:val="clear" w:fill="FFFFFF"/>
          <w:lang w:eastAsia="zh-CN"/>
        </w:rPr>
        <w:t>本部门2022年度无国有资本经营预算财政拨款支出。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黑体_GBK" w:hAnsi="方正黑体_GBK" w:eastAsia="方正黑体_GBK" w:cs="方正黑体_GBK"/>
          <w:b w:val="0"/>
          <w:bCs/>
          <w:color w:val="auto"/>
          <w:sz w:val="32"/>
          <w:szCs w:val="32"/>
          <w:highlight w:val="none"/>
          <w:shd w:val="clear" w:fill="FFFFFF"/>
        </w:rPr>
      </w:pPr>
      <w:r>
        <w:rPr>
          <w:rStyle w:val="5"/>
          <w:rFonts w:hint="eastAsia" w:ascii="方正黑体_GBK" w:hAnsi="方正黑体_GBK" w:eastAsia="方正黑体_GBK" w:cs="方正黑体_GBK"/>
          <w:b w:val="0"/>
          <w:bCs/>
          <w:color w:val="auto"/>
          <w:sz w:val="32"/>
          <w:szCs w:val="32"/>
          <w:highlight w:val="none"/>
          <w:shd w:val="clear" w:fill="FFFFFF"/>
        </w:rPr>
        <w:t>三、“三公”经费情况说明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（一）“三公”经费支出总体情况说明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shd w:val="clear" w:fill="FFFFFF"/>
        </w:rPr>
        <w:t>2022年度“三公”经费支出共计0.00万元，较年初预算数增加0.00万元，增长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%。较上年支出数增加0.00万元，增长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（二）“三公”经费分项支出情况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shd w:val="clear" w:fill="FFFFFF"/>
        </w:rPr>
        <w:t>2022年度本部门因公出国（境）费用0.00万元。费用支出较年初预算数增加0.00万元，增长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%。较上年支出数增加0.00万元，增长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shd w:val="clear" w:fill="FFFFFF"/>
        </w:rPr>
        <w:t>公务车购置费0.00万元。费用支出较年初预算数增加0.00万元，增长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%。较上年支出数增加0.00万元，增长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shd w:val="clear" w:fill="FFFFFF"/>
        </w:rPr>
        <w:t>公务车运行维护费0.00万元。费用支出较年初预算数增加0.00万元，增长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%。较上年支出数增加0.00万元，增长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shd w:val="clear" w:fill="FFFFFF"/>
        </w:rPr>
        <w:t>公务接待费0.00万元。费用支出较年初预算数增加0.00万元，增长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%。较上年支出数增加0.00万元，增长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（三）“三公”经费实物量情况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shd w:val="clear" w:fill="FFFFFF"/>
        </w:rPr>
        <w:t>2022年度本部门因公出国（境）共计0个团组，0人；公务用车购置0辆，公务车保有量为0辆；国内公务接待0批次0人，其中：国内外事接待0批次，0人；国（境）外公务接待0批次，0人。2022年本部门人均接待费0.00元，车均购置费0.00万元，车均维护费0.00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黑体_GBK" w:hAnsi="方正黑体_GBK" w:eastAsia="方正黑体_GBK" w:cs="方正黑体_GBK"/>
          <w:b w:val="0"/>
          <w:bCs/>
          <w:color w:val="auto"/>
          <w:sz w:val="32"/>
          <w:szCs w:val="32"/>
          <w:highlight w:val="none"/>
          <w:shd w:val="clear" w:fill="FFFFFF"/>
        </w:rPr>
      </w:pPr>
      <w:r>
        <w:rPr>
          <w:rStyle w:val="5"/>
          <w:rFonts w:hint="eastAsia" w:ascii="方正黑体_GBK" w:hAnsi="方正黑体_GBK" w:eastAsia="方正黑体_GBK" w:cs="方正黑体_GBK"/>
          <w:b w:val="0"/>
          <w:bCs/>
          <w:color w:val="auto"/>
          <w:sz w:val="32"/>
          <w:szCs w:val="32"/>
          <w:highlight w:val="none"/>
          <w:shd w:val="clear" w:fill="FFFFFF"/>
        </w:rPr>
        <w:t>四、其他需要说明的事项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（一）财政拨款会议费和培训费情况说明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shd w:val="clear" w:fill="FFFFFF"/>
        </w:rPr>
        <w:t>本年度会议费支出0.00万元，较上年决算数增加0.00万元，增长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%。本年度培训费支出0.00万元，较上年决算数增加0.00万元，增长</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（二）机关运行经费支出情况说明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Fonts w:hint="eastAsia" w:ascii="方正仿宋_GBK" w:hAnsi="方正仿宋_GBK" w:eastAsia="方正仿宋_GBK" w:cs="方正仿宋_GBK"/>
          <w:b w:val="0"/>
          <w:bCs/>
          <w:color w:val="auto"/>
          <w:sz w:val="32"/>
          <w:szCs w:val="32"/>
          <w:highlight w:val="none"/>
          <w:shd w:val="clear" w:fill="FFFFFF"/>
        </w:rPr>
        <w:t>按照部门决算列报口径，我单位不在机关运行经费统计范围之内。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（三）国有资产占用情况说明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shd w:val="clear" w:fill="FFFFFF"/>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（四）政府采购支出说明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Fonts w:hint="eastAsia" w:ascii="方正仿宋_GBK" w:hAnsi="方正仿宋_GBK" w:eastAsia="方正仿宋_GBK" w:cs="方正仿宋_GBK"/>
          <w:b w:val="0"/>
          <w:bCs/>
          <w:color w:val="auto"/>
          <w:sz w:val="32"/>
          <w:szCs w:val="32"/>
          <w:highlight w:val="none"/>
          <w:shd w:val="clear" w:fill="FFFFFF"/>
        </w:rPr>
        <w:t>2022年度我单位未发生政府采购事项，无相关经费支出。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黑体_GBK" w:hAnsi="方正黑体_GBK" w:eastAsia="方正黑体_GBK" w:cs="方正黑体_GBK"/>
          <w:b w:val="0"/>
          <w:bCs/>
          <w:color w:val="auto"/>
          <w:sz w:val="32"/>
          <w:szCs w:val="32"/>
          <w:highlight w:val="none"/>
          <w:shd w:val="clear" w:fill="FFFFFF"/>
        </w:rPr>
      </w:pPr>
      <w:r>
        <w:rPr>
          <w:rStyle w:val="5"/>
          <w:rFonts w:hint="eastAsia" w:ascii="方正黑体_GBK" w:hAnsi="方正黑体_GBK" w:eastAsia="方正黑体_GBK" w:cs="方正黑体_GBK"/>
          <w:b w:val="0"/>
          <w:bCs/>
          <w:color w:val="auto"/>
          <w:sz w:val="32"/>
          <w:szCs w:val="32"/>
          <w:highlight w:val="none"/>
          <w:shd w:val="clear" w:fill="FFFFFF"/>
        </w:rPr>
        <w:t>五、预算绩效管理情况说明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（一）预算绩效管理工作开展情况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shd w:val="clear" w:fill="FFFFFF"/>
        </w:rPr>
        <w:t>根据预算绩效管理要求，我</w:t>
      </w:r>
      <w:r>
        <w:rPr>
          <w:rFonts w:hint="eastAsia" w:ascii="方正仿宋_GBK" w:hAnsi="方正仿宋_GBK" w:eastAsia="方正仿宋_GBK" w:cs="方正仿宋_GBK"/>
          <w:b w:val="0"/>
          <w:bCs/>
          <w:color w:val="auto"/>
          <w:sz w:val="32"/>
          <w:szCs w:val="32"/>
          <w:highlight w:val="none"/>
          <w:shd w:val="clear" w:fill="FFFFFF"/>
          <w:lang w:eastAsia="zh-CN"/>
        </w:rPr>
        <w:t>单位</w:t>
      </w:r>
      <w:r>
        <w:rPr>
          <w:rFonts w:hint="eastAsia" w:ascii="方正仿宋_GBK" w:hAnsi="方正仿宋_GBK" w:eastAsia="方正仿宋_GBK" w:cs="方正仿宋_GBK"/>
          <w:b w:val="0"/>
          <w:bCs/>
          <w:color w:val="auto"/>
          <w:sz w:val="32"/>
          <w:szCs w:val="32"/>
          <w:highlight w:val="none"/>
          <w:shd w:val="clear" w:fill="FFFFFF"/>
        </w:rPr>
        <w:t>对</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个项目开展了绩效自评，其中，以填报自评表形式开展自评</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项，涉及资金</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万元；以委托第三方出具报告的方式开展绩效评价</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项，涉及资金</w:t>
      </w:r>
      <w:r>
        <w:rPr>
          <w:rFonts w:hint="eastAsia" w:ascii="方正仿宋_GBK" w:hAnsi="方正仿宋_GBK" w:eastAsia="方正仿宋_GBK" w:cs="方正仿宋_GBK"/>
          <w:b w:val="0"/>
          <w:bCs/>
          <w:color w:val="auto"/>
          <w:sz w:val="32"/>
          <w:szCs w:val="32"/>
          <w:highlight w:val="none"/>
          <w:shd w:val="clear" w:fill="FFFFFF"/>
          <w:lang w:val="en-US" w:eastAsia="zh-CN"/>
        </w:rPr>
        <w:t>0</w:t>
      </w:r>
      <w:r>
        <w:rPr>
          <w:rFonts w:hint="eastAsia" w:ascii="方正仿宋_GBK" w:hAnsi="方正仿宋_GBK" w:eastAsia="方正仿宋_GBK" w:cs="方正仿宋_GBK"/>
          <w:b w:val="0"/>
          <w:bCs/>
          <w:color w:val="auto"/>
          <w:sz w:val="32"/>
          <w:szCs w:val="32"/>
          <w:highlight w:val="none"/>
          <w:shd w:val="clear" w:fill="FFFFFF"/>
        </w:rPr>
        <w:t>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（二）绩效自评结果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仿宋_GBK" w:hAnsi="方正仿宋_GBK" w:eastAsia="方正仿宋_GBK" w:cs="方正仿宋_GBK"/>
          <w:b w:val="0"/>
          <w:bCs/>
          <w:color w:val="auto"/>
          <w:sz w:val="32"/>
          <w:szCs w:val="32"/>
          <w:highlight w:val="none"/>
          <w:shd w:val="clear" w:fill="FFFFFF"/>
          <w:lang w:eastAsia="zh-CN"/>
        </w:rPr>
      </w:pPr>
      <w:r>
        <w:rPr>
          <w:rStyle w:val="5"/>
          <w:rFonts w:hint="eastAsia" w:ascii="方正仿宋_GBK" w:hAnsi="方正仿宋_GBK" w:eastAsia="方正仿宋_GBK" w:cs="方正仿宋_GBK"/>
          <w:b w:val="0"/>
          <w:bCs/>
          <w:color w:val="auto"/>
          <w:sz w:val="32"/>
          <w:szCs w:val="32"/>
          <w:highlight w:val="none"/>
          <w:shd w:val="clear" w:fill="FFFFFF"/>
        </w:rPr>
        <w:t>1.绩效目标自评表。</w:t>
      </w:r>
      <w:r>
        <w:rPr>
          <w:rStyle w:val="5"/>
          <w:rFonts w:hint="eastAsia" w:ascii="方正仿宋_GBK" w:hAnsi="方正仿宋_GBK" w:eastAsia="方正仿宋_GBK" w:cs="方正仿宋_GBK"/>
          <w:b w:val="0"/>
          <w:bCs/>
          <w:color w:val="auto"/>
          <w:sz w:val="32"/>
          <w:szCs w:val="32"/>
          <w:highlight w:val="none"/>
          <w:shd w:val="clear" w:fill="FFFFFF"/>
          <w:lang w:eastAsia="zh-CN"/>
        </w:rPr>
        <w:t>（详见附表）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Fonts w:hint="eastAsia" w:ascii="方正仿宋_GBK" w:hAnsi="方正仿宋_GBK" w:eastAsia="方正仿宋_GBK" w:cs="方正仿宋_GBK"/>
          <w:b w:val="0"/>
          <w:bCs/>
          <w:color w:val="auto"/>
          <w:sz w:val="32"/>
          <w:szCs w:val="32"/>
          <w:highlight w:val="none"/>
          <w:shd w:val="clear" w:fill="FFFFFF"/>
        </w:rPr>
        <w:t>本单位无重点项目或项目支出。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仿宋_GBK" w:hAnsi="方正仿宋_GBK" w:eastAsia="方正仿宋_GBK" w:cs="方正仿宋_GBK"/>
          <w:b w:val="0"/>
          <w:bCs/>
          <w:color w:val="auto"/>
          <w:sz w:val="32"/>
          <w:szCs w:val="32"/>
          <w:highlight w:val="none"/>
          <w:shd w:val="clear" w:fill="FFFFFF"/>
        </w:rPr>
        <w:t>2.绩效自评报告或案例。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Fonts w:hint="eastAsia" w:ascii="方正仿宋_GBK" w:hAnsi="方正仿宋_GBK" w:eastAsia="方正仿宋_GBK" w:cs="方正仿宋_GBK"/>
          <w:b w:val="0"/>
          <w:bCs/>
          <w:color w:val="auto"/>
          <w:sz w:val="32"/>
          <w:szCs w:val="32"/>
          <w:highlight w:val="none"/>
          <w:shd w:val="clear" w:fill="FFFFFF"/>
        </w:rPr>
        <w:t>本单位没有委托第三方开展绩效自评。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仿宋_GBK" w:hAnsi="方正仿宋_GBK" w:eastAsia="方正仿宋_GBK" w:cs="方正仿宋_GBK"/>
          <w:b w:val="0"/>
          <w:bCs/>
          <w:color w:val="auto"/>
          <w:sz w:val="32"/>
          <w:szCs w:val="32"/>
          <w:highlight w:val="none"/>
          <w:shd w:val="clear" w:fill="FFFFFF"/>
        </w:rPr>
        <w:t>3.关于绩效自评结果的说明。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Fonts w:hint="eastAsia" w:ascii="方正仿宋_GBK" w:hAnsi="方正仿宋_GBK" w:eastAsia="方正仿宋_GBK" w:cs="方正仿宋_GBK"/>
          <w:b w:val="0"/>
          <w:bCs/>
          <w:color w:val="auto"/>
          <w:sz w:val="32"/>
          <w:szCs w:val="32"/>
          <w:highlight w:val="none"/>
          <w:shd w:val="clear" w:fill="FFFFFF"/>
        </w:rPr>
        <w:t>本单位无重点项目或项目支出。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楷体_GBK" w:hAnsi="方正楷体_GBK" w:eastAsia="方正楷体_GBK" w:cs="方正楷体_GBK"/>
          <w:b w:val="0"/>
          <w:bCs/>
          <w:color w:val="auto"/>
          <w:sz w:val="32"/>
          <w:szCs w:val="32"/>
          <w:highlight w:val="none"/>
          <w:shd w:val="clear" w:fill="FFFFFF"/>
        </w:rPr>
      </w:pPr>
      <w:r>
        <w:rPr>
          <w:rStyle w:val="5"/>
          <w:rFonts w:hint="eastAsia" w:ascii="方正楷体_GBK" w:hAnsi="方正楷体_GBK" w:eastAsia="方正楷体_GBK" w:cs="方正楷体_GBK"/>
          <w:b w:val="0"/>
          <w:bCs/>
          <w:color w:val="auto"/>
          <w:sz w:val="32"/>
          <w:szCs w:val="32"/>
          <w:highlight w:val="none"/>
          <w:shd w:val="clear" w:fill="FFFFFF"/>
        </w:rPr>
        <w:t>（三）重点绩效评价结果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shd w:val="clear" w:fill="FFFFFF"/>
        </w:rPr>
      </w:pPr>
      <w:r>
        <w:rPr>
          <w:rFonts w:hint="eastAsia" w:ascii="方正仿宋_GBK" w:hAnsi="方正仿宋_GBK" w:eastAsia="方正仿宋_GBK" w:cs="方正仿宋_GBK"/>
          <w:b w:val="0"/>
          <w:bCs/>
          <w:color w:val="auto"/>
          <w:sz w:val="32"/>
          <w:szCs w:val="32"/>
          <w:highlight w:val="none"/>
          <w:shd w:val="clear" w:fill="FFFFFF"/>
        </w:rPr>
        <w:t>本单位没有重点绩效评价项目。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黑体_GBK" w:hAnsi="方正黑体_GBK" w:eastAsia="方正黑体_GBK" w:cs="方正黑体_GBK"/>
          <w:b w:val="0"/>
          <w:bCs/>
          <w:color w:val="auto"/>
          <w:sz w:val="32"/>
          <w:szCs w:val="32"/>
          <w:highlight w:val="none"/>
          <w:shd w:val="clear" w:fill="FFFFFF"/>
        </w:rPr>
      </w:pPr>
      <w:r>
        <w:rPr>
          <w:rStyle w:val="5"/>
          <w:rFonts w:hint="eastAsia" w:ascii="方正黑体_GBK" w:hAnsi="方正黑体_GBK" w:eastAsia="方正黑体_GBK" w:cs="方正黑体_GBK"/>
          <w:b w:val="0"/>
          <w:bCs/>
          <w:color w:val="auto"/>
          <w:sz w:val="32"/>
          <w:szCs w:val="32"/>
          <w:highlight w:val="none"/>
          <w:shd w:val="clear" w:fill="FFFFFF"/>
        </w:rPr>
        <w:t>六、专业名词解释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（一）财政拨款收入</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指本年度从本级财政部门取得的财政拨款，包括一般公共预算财政拨款和政府性基金预算财政拨款。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（二）事业收入</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指事业单位开展专业业务活动及其辅助活动取得的现金流入；事业单位收到的财政专户实际核拨的教育收费等资金在此反映。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（三）经营收入</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指事业单位在专业业务活动及其辅助活动之外开展非独立核算经营活动取得的现金流入。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（四）其他收入</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（五）使用非财政拨款结余</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指单位在当年的“财政拨款收入”、“事业收入”、“经营收入”、“其他收入”等不足以安排当年支出的情况下，使用以前年度积累的非财政拨款结余弥补本年度收支缺口的资金。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（六）年初结转和结余</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指单位上年结转本年使用的基本支出结转、项目支出结转和结余、经营结余。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（七）结余分配</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指单位按照国家有关规定，缴纳所得税、提取专用基金、转入非财政拨款结余等当年结余的分配情况。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（八）年末结转和结余</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指单位结转下年的基本支出结转、项目支出结转和结余、经营结余。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（九）基本支出</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（十）项目支出</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指在基本支出之外为完成特定行政任务和事业发展目标所发生的支出。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（十一）经营支出</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指事业单位在专业业务活动及其辅助活动之外开展非独立核算经营活动发生的支出。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（十二）“三公”经费</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（十三）机关运行经费</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（十四）工资福利支出（支出经济分类科目类级）</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反映单位开支的在职职工和编制外长期聘用人员的各类劳动报酬，以及为上述人员缴纳的各项社会保险费等。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（十五）商品和服务支出（支出经济分类科目类级）</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反映单位购买商品和服务的支出（不包括用于购置固定资产的支出、战略性和应急储备支出）。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（十六）对个人和家庭的补助（支出经济分类科目类级）</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反映用于对个人和家庭的补助支出。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Style w:val="5"/>
          <w:rFonts w:hint="eastAsia" w:ascii="方正楷体_GBK" w:hAnsi="方正楷体_GBK" w:eastAsia="方正楷体_GBK" w:cs="方正楷体_GBK"/>
          <w:b w:val="0"/>
          <w:bCs/>
          <w:color w:val="auto"/>
          <w:sz w:val="32"/>
          <w:szCs w:val="32"/>
          <w:highlight w:val="none"/>
          <w:shd w:val="clear" w:fill="FFFFFF"/>
        </w:rPr>
        <w:t>（十七）其他资本性支出（支出经济分类科目类级）</w:t>
      </w:r>
      <w:r>
        <w:rPr>
          <w:rFonts w:hint="eastAsia" w:ascii="方正楷体_GBK" w:hAnsi="方正楷体_GBK" w:eastAsia="方正楷体_GBK" w:cs="方正楷体_GBK"/>
          <w:b w:val="0"/>
          <w:bCs/>
          <w:color w:val="auto"/>
          <w:sz w:val="32"/>
          <w:szCs w:val="32"/>
          <w:highlight w:val="none"/>
          <w:shd w:val="clear" w:fill="FFFFFF"/>
        </w:rPr>
        <w:t>：</w:t>
      </w:r>
      <w:r>
        <w:rPr>
          <w:rFonts w:hint="eastAsia" w:ascii="方正仿宋_GBK" w:hAnsi="方正仿宋_GBK" w:eastAsia="方正仿宋_GBK" w:cs="方正仿宋_GBK"/>
          <w:b w:val="0"/>
          <w:bCs/>
          <w:color w:val="auto"/>
          <w:sz w:val="32"/>
          <w:szCs w:val="32"/>
          <w:highlight w:val="none"/>
          <w:shd w:val="clear" w:fill="FFFFFF"/>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eastAsia" w:ascii="方正黑体_GBK" w:hAnsi="方正黑体_GBK" w:eastAsia="方正黑体_GBK" w:cs="方正黑体_GBK"/>
          <w:b w:val="0"/>
          <w:bCs/>
          <w:color w:val="auto"/>
          <w:sz w:val="32"/>
          <w:szCs w:val="32"/>
          <w:highlight w:val="none"/>
          <w:shd w:val="clear" w:fill="FFFFFF"/>
        </w:rPr>
      </w:pPr>
      <w:r>
        <w:rPr>
          <w:rStyle w:val="5"/>
          <w:rFonts w:hint="eastAsia" w:ascii="方正黑体_GBK" w:hAnsi="方正黑体_GBK" w:eastAsia="方正黑体_GBK" w:cs="方正黑体_GBK"/>
          <w:b w:val="0"/>
          <w:bCs/>
          <w:color w:val="auto"/>
          <w:sz w:val="32"/>
          <w:szCs w:val="32"/>
          <w:highlight w:val="none"/>
          <w:shd w:val="clear" w:fill="FFFFFF"/>
        </w:rPr>
        <w:t>七、决算公开联系方式及信息反馈渠道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shd w:val="clear" w:fill="FFFFFF"/>
        </w:rPr>
        <w:t>本单位决算公开信息反馈和联系方式：</w:t>
      </w:r>
      <w:r>
        <w:rPr>
          <w:rFonts w:hint="eastAsia" w:ascii="方正仿宋_GBK" w:hAnsi="方正仿宋_GBK" w:eastAsia="方正仿宋_GBK" w:cs="方正仿宋_GBK"/>
          <w:b w:val="0"/>
          <w:bCs/>
          <w:color w:val="auto"/>
          <w:sz w:val="32"/>
          <w:szCs w:val="32"/>
          <w:highlight w:val="none"/>
          <w:shd w:val="clear" w:fill="FFFFFF"/>
          <w:lang w:eastAsia="zh-CN"/>
        </w:rPr>
        <w:t>杨同志</w:t>
      </w:r>
      <w:r>
        <w:rPr>
          <w:rFonts w:hint="eastAsia" w:ascii="方正仿宋_GBK" w:hAnsi="方正仿宋_GBK" w:eastAsia="方正仿宋_GBK" w:cs="方正仿宋_GBK"/>
          <w:b w:val="0"/>
          <w:bCs/>
          <w:color w:val="auto"/>
          <w:sz w:val="32"/>
          <w:szCs w:val="32"/>
          <w:highlight w:val="none"/>
          <w:shd w:val="clear" w:fill="FFFFFF"/>
          <w:lang w:val="en-US" w:eastAsia="zh-CN"/>
        </w:rPr>
        <w:t xml:space="preserve"> 72865345</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方正仿宋_GBK" w:hAnsi="方正仿宋_GBK" w:eastAsia="方正仿宋_GBK" w:cs="方正仿宋_GBK"/>
          <w:b w:val="0"/>
          <w:bCs/>
          <w:color w:val="auto"/>
          <w:sz w:val="32"/>
          <w:szCs w:val="32"/>
          <w:highlight w:val="none"/>
        </w:rPr>
      </w:pPr>
    </w:p>
    <w:sectPr>
      <w:pgSz w:w="11915" w:h="16851"/>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2277B"/>
    <w:rsid w:val="022C24DE"/>
    <w:rsid w:val="1252277B"/>
    <w:rsid w:val="20270A5D"/>
    <w:rsid w:val="412D2E42"/>
    <w:rsid w:val="46C63A79"/>
    <w:rsid w:val="54534C76"/>
    <w:rsid w:val="6E705558"/>
    <w:rsid w:val="7BE34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3736</Words>
  <Characters>4067</Characters>
  <Lines>0</Lines>
  <Paragraphs>0</Paragraphs>
  <TotalTime>6</TotalTime>
  <ScaleCrop>false</ScaleCrop>
  <LinksUpToDate>false</LinksUpToDate>
  <CharactersWithSpaces>4068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2023-09-19T08:17:00Z</dcterms:created>
  <dc:creator>Administrator</dc:creator>
  <cp:lastModifiedBy>Administrator</cp:lastModifiedBy>
  <dcterms:modified xsi:type="dcterms:W3CDTF">2023-09-22T02:15:20Z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74607CCDE3644D3ABC951E3DA0E91418</vt:lpwstr>
  </property>
</Properties>
</file>