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重庆市涪陵区人民政府荔枝街道</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社区事务服务中心</w:t>
      </w:r>
      <w:r>
        <w:rPr>
          <w:rFonts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ascii="黑体" w:hAnsi="黑体" w:eastAsia="黑体" w:cs="黑体"/>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eastAsia="zh-CN"/>
        </w:rPr>
        <w:t>社区事务岗主要负责绿色完整社区创建、老旧小区改造、城市危旧房安全、群租房安全、高层雨棚，防护网拆除、城市运行安全。生活垃圾分类、生活垃圾</w:t>
      </w:r>
      <w:r>
        <w:rPr>
          <w:rFonts w:hint="eastAsia" w:ascii="方正仿宋_GBK" w:hAnsi="方正仿宋_GBK" w:eastAsia="方正仿宋_GBK" w:cs="方正仿宋_GBK"/>
          <w:b w:val="0"/>
          <w:bCs/>
          <w:sz w:val="32"/>
          <w:szCs w:val="32"/>
          <w:highlight w:val="none"/>
          <w:lang w:eastAsia="zh-CN"/>
        </w:rPr>
        <w:t>处置费征收、马路办公、打通生命通道、数字城管案件处置、市民投诉案件处置、清扫保洁、路灯维护、背街小巷市容市貌、小微停车场建设、园林绿化等。组织、监督、指导本辖区业主大会成立和业委会换届改选，业委会备案，调解物业矛盾纠纷，物业承接查验，业主决策系统建设及维护。</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楷体" w:hAnsi="楷体" w:eastAsia="楷体" w:cs="楷体"/>
          <w:b w:val="0"/>
          <w:bCs/>
          <w:sz w:val="32"/>
          <w:szCs w:val="32"/>
        </w:rPr>
      </w:pPr>
      <w:r>
        <w:rPr>
          <w:rStyle w:val="10"/>
          <w:rFonts w:ascii="楷体" w:hAnsi="楷体" w:eastAsia="楷体" w:cs="楷体"/>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lang w:eastAsia="zh-CN"/>
        </w:rPr>
        <w:t>社区事务岗。</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黑体" w:hAnsi="黑体" w:eastAsia="黑体" w:cs="黑体"/>
          <w:b w:val="0"/>
          <w:bCs/>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年度收入总计</w:t>
      </w:r>
      <w:r>
        <w:rPr>
          <w:rFonts w:hint="eastAsia" w:ascii="方正仿宋_GBK" w:hAnsi="方正仿宋_GBK" w:eastAsia="方正仿宋_GBK" w:cs="方正仿宋_GBK"/>
          <w:sz w:val="32"/>
          <w:szCs w:val="32"/>
          <w:shd w:val="clear" w:color="auto" w:fill="FFFFFF"/>
          <w:lang w:val="en-US" w:eastAsia="zh-CN"/>
        </w:rPr>
        <w:t>676.30</w:t>
      </w:r>
      <w:r>
        <w:rPr>
          <w:rFonts w:ascii="方正仿宋_GBK" w:hAnsi="方正仿宋_GBK" w:eastAsia="方正仿宋_GBK" w:cs="方正仿宋_GBK"/>
          <w:sz w:val="32"/>
          <w:szCs w:val="32"/>
          <w:shd w:val="clear" w:color="auto" w:fill="FFFFFF"/>
        </w:rPr>
        <w:t>万元，支出总计</w:t>
      </w:r>
      <w:r>
        <w:rPr>
          <w:rFonts w:hint="eastAsia" w:ascii="方正仿宋_GBK" w:hAnsi="方正仿宋_GBK" w:eastAsia="方正仿宋_GBK" w:cs="方正仿宋_GBK"/>
          <w:sz w:val="32"/>
          <w:szCs w:val="32"/>
          <w:shd w:val="clear" w:color="auto" w:fill="FFFFFF"/>
          <w:lang w:val="en-US" w:eastAsia="zh-CN"/>
        </w:rPr>
        <w:t>676.30</w:t>
      </w:r>
      <w:r>
        <w:rPr>
          <w:rFonts w:ascii="方正仿宋_GBK" w:hAnsi="方正仿宋_GBK" w:eastAsia="方正仿宋_GBK" w:cs="方正仿宋_GBK"/>
          <w:sz w:val="32"/>
          <w:szCs w:val="32"/>
          <w:shd w:val="clear" w:color="auto" w:fill="FFFFFF"/>
        </w:rPr>
        <w:t>元。收支较上年决算数</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28.12万元，</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4.34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人员经费上涨</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lang w:val="en-US" w:eastAsia="zh-CN"/>
        </w:rPr>
        <w:t>676.30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28.12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4.34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人员经费上涨</w:t>
      </w:r>
      <w:r>
        <w:rPr>
          <w:rFonts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shd w:val="clear" w:color="auto" w:fill="FFFFFF"/>
          <w:lang w:val="en-US" w:eastAsia="zh-CN"/>
        </w:rPr>
        <w:t>676.3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100.00</w:t>
      </w:r>
      <w:r>
        <w:rPr>
          <w:rFonts w:ascii="方正仿宋_GBK" w:hAnsi="方正仿宋_GBK" w:eastAsia="方正仿宋_GBK" w:cs="方正仿宋_GBK"/>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年度支出合计</w:t>
      </w:r>
      <w:r>
        <w:rPr>
          <w:rFonts w:hint="eastAsia" w:ascii="方正仿宋_GBK" w:hAnsi="方正仿宋_GBK" w:eastAsia="方正仿宋_GBK" w:cs="方正仿宋_GBK"/>
          <w:sz w:val="32"/>
          <w:szCs w:val="32"/>
          <w:shd w:val="clear" w:color="auto" w:fill="FFFFFF"/>
          <w:lang w:val="en-US" w:eastAsia="zh-CN"/>
        </w:rPr>
        <w:t>676.30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28.12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上涨</w:t>
      </w:r>
      <w:r>
        <w:rPr>
          <w:rFonts w:hint="eastAsia" w:ascii="方正仿宋_GBK" w:hAnsi="方正仿宋_GBK" w:eastAsia="方正仿宋_GBK" w:cs="方正仿宋_GBK"/>
          <w:sz w:val="32"/>
          <w:szCs w:val="32"/>
          <w:shd w:val="clear" w:color="auto" w:fill="FFFFFF"/>
          <w:lang w:val="en-US" w:eastAsia="zh-CN"/>
        </w:rPr>
        <w:t>4.34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人员经费支出下降，</w:t>
      </w:r>
      <w:r>
        <w:rPr>
          <w:rFonts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shd w:val="clear" w:color="auto" w:fill="FFFFFF"/>
          <w:lang w:val="en-US" w:eastAsia="zh-CN"/>
        </w:rPr>
        <w:t>182.21</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26.94</w:t>
      </w:r>
      <w:r>
        <w:rPr>
          <w:rFonts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shd w:val="clear" w:color="auto" w:fill="FFFFFF"/>
          <w:lang w:val="en-US" w:eastAsia="zh-CN"/>
        </w:rPr>
        <w:t>494.09</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73.06</w:t>
      </w:r>
      <w:r>
        <w:rPr>
          <w:rFonts w:ascii="方正仿宋_GBK" w:hAnsi="方正仿宋_GBK" w:eastAsia="方正仿宋_GBK" w:cs="方正仿宋_GBK"/>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上涨</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年度财政拨款收、支总计</w:t>
      </w:r>
      <w:r>
        <w:rPr>
          <w:rFonts w:hint="eastAsia" w:ascii="方正仿宋_GBK" w:hAnsi="方正仿宋_GBK" w:eastAsia="方正仿宋_GBK" w:cs="方正仿宋_GBK"/>
          <w:sz w:val="32"/>
          <w:szCs w:val="32"/>
          <w:shd w:val="clear" w:color="auto" w:fill="FFFFFF"/>
          <w:lang w:val="en-US" w:eastAsia="zh-CN"/>
        </w:rPr>
        <w:t>676.3</w:t>
      </w:r>
      <w:r>
        <w:rPr>
          <w:rFonts w:ascii="方正仿宋_GBK" w:hAnsi="方正仿宋_GBK" w:eastAsia="方正仿宋_GBK" w:cs="方正仿宋_GBK"/>
          <w:sz w:val="32"/>
          <w:szCs w:val="32"/>
          <w:shd w:val="clear" w:color="auto" w:fill="FFFFFF"/>
        </w:rPr>
        <w:t>万元。与202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年相比，财政拨款收、支总计各</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28.12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4.34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人员经费上涨。</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shd w:val="clear" w:color="auto" w:fill="FFFFFF"/>
          <w:lang w:val="en-US" w:eastAsia="zh-CN"/>
        </w:rPr>
        <w:t>676.3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28.12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4.34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highlight w:val="none"/>
          <w:shd w:val="clear" w:color="auto" w:fill="FFFFFF"/>
          <w:lang w:val="en-US" w:eastAsia="zh-CN"/>
        </w:rPr>
        <w:t>101.22</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增长</w:t>
      </w:r>
      <w:r>
        <w:rPr>
          <w:rFonts w:hint="eastAsia" w:ascii="方正仿宋_GBK" w:hAnsi="方正仿宋_GBK" w:eastAsia="方正仿宋_GBK" w:cs="方正仿宋_GBK"/>
          <w:sz w:val="32"/>
          <w:szCs w:val="32"/>
          <w:highlight w:val="none"/>
          <w:shd w:val="clear" w:color="auto" w:fill="FFFFFF"/>
          <w:lang w:val="en-US" w:eastAsia="zh-CN"/>
        </w:rPr>
        <w:t>19.08</w:t>
      </w:r>
      <w:r>
        <w:rPr>
          <w:rFonts w:ascii="方正仿宋_GBK" w:hAnsi="方正仿宋_GBK" w:eastAsia="方正仿宋_GBK" w:cs="方正仿宋_GBK"/>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Style w:val="10"/>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ascii="方正仿宋_GBK" w:hAnsi="方正仿宋_GBK" w:eastAsia="方正仿宋_GBK" w:cs="方正仿宋_GBK"/>
          <w:sz w:val="32"/>
          <w:szCs w:val="32"/>
          <w:highlight w:val="none"/>
          <w:shd w:val="clear" w:color="auto" w:fill="FFFFFF"/>
        </w:rPr>
        <w:t>年度一般公共预算财政拨款支出</w:t>
      </w:r>
      <w:r>
        <w:rPr>
          <w:rFonts w:hint="eastAsia" w:ascii="方正仿宋_GBK" w:hAnsi="方正仿宋_GBK" w:eastAsia="方正仿宋_GBK" w:cs="方正仿宋_GBK"/>
          <w:sz w:val="32"/>
          <w:szCs w:val="32"/>
          <w:highlight w:val="none"/>
          <w:shd w:val="clear" w:color="auto" w:fill="FFFFFF"/>
          <w:lang w:val="en-US" w:eastAsia="zh-CN"/>
        </w:rPr>
        <w:t>676.3</w:t>
      </w:r>
      <w:r>
        <w:rPr>
          <w:rFonts w:ascii="方正仿宋_GBK" w:hAnsi="方正仿宋_GBK" w:eastAsia="方正仿宋_GBK" w:cs="方正仿宋_GBK"/>
          <w:sz w:val="32"/>
          <w:szCs w:val="32"/>
          <w:highlight w:val="none"/>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highlight w:val="none"/>
          <w:shd w:val="clear" w:color="auto" w:fill="FFFFFF"/>
          <w:lang w:val="en-US" w:eastAsia="zh-CN"/>
        </w:rPr>
        <w:t>28.12</w:t>
      </w:r>
      <w:r>
        <w:rPr>
          <w:rFonts w:ascii="方正仿宋_GBK" w:hAnsi="方正仿宋_GBK" w:eastAsia="方正仿宋_GBK" w:cs="方正仿宋_GBK"/>
          <w:sz w:val="32"/>
          <w:szCs w:val="32"/>
          <w:highlight w:val="none"/>
          <w:shd w:val="clear" w:color="auto" w:fill="FFFFFF"/>
        </w:rPr>
        <w:t>万元，增长</w:t>
      </w:r>
      <w:r>
        <w:rPr>
          <w:rFonts w:hint="eastAsia" w:ascii="方正仿宋_GBK" w:hAnsi="方正仿宋_GBK" w:eastAsia="方正仿宋_GBK" w:cs="方正仿宋_GBK"/>
          <w:sz w:val="32"/>
          <w:szCs w:val="32"/>
          <w:highlight w:val="none"/>
          <w:shd w:val="clear" w:color="auto" w:fill="FFFFFF"/>
          <w:lang w:val="en-US" w:eastAsia="zh-CN"/>
        </w:rPr>
        <w:t>3.7</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eastAsia="zh-CN"/>
        </w:rPr>
        <w:t>人员经费支出增长，</w:t>
      </w:r>
      <w:r>
        <w:rPr>
          <w:rFonts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方正仿宋_GBK" w:hAnsi="方正仿宋_GBK" w:eastAsia="方正仿宋_GBK" w:cs="方正仿宋_GBK"/>
          <w:sz w:val="32"/>
          <w:szCs w:val="32"/>
          <w:highlight w:val="none"/>
          <w:shd w:val="clear" w:color="auto" w:fill="FFFFFF"/>
          <w:lang w:val="en-US" w:eastAsia="zh-CN"/>
        </w:rPr>
        <w:t>101.22</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增长</w:t>
      </w:r>
      <w:r>
        <w:rPr>
          <w:rFonts w:hint="eastAsia" w:ascii="方正仿宋_GBK" w:hAnsi="方正仿宋_GBK" w:eastAsia="方正仿宋_GBK" w:cs="方正仿宋_GBK"/>
          <w:sz w:val="32"/>
          <w:szCs w:val="32"/>
          <w:highlight w:val="none"/>
          <w:shd w:val="clear" w:color="auto" w:fill="FFFFFF"/>
          <w:lang w:val="en-US" w:eastAsia="zh-CN"/>
        </w:rPr>
        <w:t>19.08</w:t>
      </w: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shd w:val="clear" w:color="auto" w:fill="FFFFFF"/>
          <w:lang w:val="en-US" w:eastAsia="zh-CN"/>
        </w:rPr>
        <w:t>26.56</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3.93</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8.41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lang w:val="en-US" w:eastAsia="zh-CN"/>
        </w:rPr>
        <w:t>46.34</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10.15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1.5</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2.07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25.62</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val="en-US" w:eastAsia="zh-CN"/>
        </w:rPr>
        <w:t>631.66</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93.4</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90.82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17.12</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）住房保障支出</w:t>
      </w:r>
      <w:r>
        <w:rPr>
          <w:rFonts w:hint="eastAsia" w:ascii="方正仿宋_GBK" w:hAnsi="方正仿宋_GBK" w:eastAsia="方正仿宋_GBK" w:cs="方正仿宋_GBK"/>
          <w:sz w:val="32"/>
          <w:szCs w:val="32"/>
          <w:shd w:val="clear" w:color="auto" w:fill="FFFFFF"/>
          <w:lang w:val="en-US" w:eastAsia="zh-CN"/>
        </w:rPr>
        <w:t>7.92</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1.23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和年初预算数一致。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年度一般公共财政拨款基本支出</w:t>
      </w:r>
      <w:r>
        <w:rPr>
          <w:rFonts w:hint="eastAsia" w:ascii="方正仿宋_GBK" w:hAnsi="方正仿宋_GBK" w:eastAsia="方正仿宋_GBK" w:cs="方正仿宋_GBK"/>
          <w:sz w:val="32"/>
          <w:szCs w:val="32"/>
          <w:lang w:val="en-US" w:eastAsia="zh-CN"/>
        </w:rPr>
        <w:t>182.21</w:t>
      </w:r>
      <w:r>
        <w:rPr>
          <w:rFonts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lang w:val="en-US" w:eastAsia="zh-CN"/>
        </w:rPr>
        <w:t>158.97</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14.34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9.93</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要原因是人员支出增加。</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b w:val="0"/>
          <w:bCs/>
          <w:sz w:val="32"/>
          <w:szCs w:val="32"/>
          <w:shd w:val="clear" w:color="auto" w:fill="FFFFFF"/>
        </w:rPr>
        <w:t>经费用途主要包括</w:t>
      </w:r>
      <w:r>
        <w:rPr>
          <w:rFonts w:hint="eastAsia" w:ascii="方正仿宋_GBK" w:hAnsi="方正仿宋_GBK" w:eastAsia="方正仿宋_GBK" w:cs="方正仿宋_GBK"/>
          <w:b w:val="0"/>
          <w:bCs/>
          <w:color w:val="000000"/>
          <w:sz w:val="32"/>
          <w:szCs w:val="32"/>
          <w:highlight w:val="none"/>
        </w:rPr>
        <w:t>主要用于</w:t>
      </w:r>
      <w:r>
        <w:rPr>
          <w:rFonts w:hint="eastAsia" w:ascii="方正仿宋_GBK" w:hAnsi="方正仿宋_GBK" w:eastAsia="方正仿宋_GBK" w:cs="方正仿宋_GBK"/>
          <w:b w:val="0"/>
          <w:bCs/>
          <w:color w:val="000000"/>
          <w:sz w:val="32"/>
          <w:szCs w:val="32"/>
          <w:highlight w:val="none"/>
          <w:lang w:eastAsia="zh-CN"/>
        </w:rPr>
        <w:t>单位开支的在职职工的各类</w:t>
      </w:r>
      <w:r>
        <w:rPr>
          <w:rFonts w:hint="eastAsia" w:ascii="方正仿宋_GBK" w:hAnsi="方正仿宋_GBK" w:eastAsia="方正仿宋_GBK" w:cs="方正仿宋_GBK"/>
          <w:sz w:val="32"/>
          <w:szCs w:val="32"/>
          <w:shd w:val="clear" w:color="auto" w:fill="FFFFFF"/>
          <w:lang w:val="en-US" w:eastAsia="zh-CN" w:bidi="ar-SA"/>
        </w:rPr>
        <w:t>劳动报酬及社保、公积金缴纳，退休人员支出等。公用经费23.24万元，较上年决算数增加21.31万元，主要原因是差旅费、电费增加。公用经费用途主要包括办公费、邮电通讯费、水电费、交通费用、工会经费等。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万元，年末结转结余</w:t>
      </w:r>
      <w:r>
        <w:rPr>
          <w:rFonts w:hint="eastAsia" w:ascii="方正仿宋_GBK" w:hAnsi="方正仿宋_GBK" w:eastAsia="方正仿宋_GBK" w:cs="方正仿宋_GBK"/>
          <w:b w:val="0"/>
          <w:bCs w:val="0"/>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eastAsia="zh-CN"/>
        </w:rPr>
        <w:t>本部门无三公经费。</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lang w:val="en-US" w:eastAsia="zh-CN"/>
        </w:rPr>
        <w:t>0</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万元，本年度培训费支出</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val="en-US" w:eastAsia="zh-CN"/>
        </w:rPr>
        <w:t>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color w:val="000000"/>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年度本单位机关运行经费支出</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万元，机关运行经费主</w:t>
      </w:r>
      <w:r>
        <w:rPr>
          <w:rFonts w:hint="eastAsia" w:ascii="方正仿宋_GBK" w:hAnsi="方正仿宋_GBK" w:eastAsia="方正仿宋_GBK" w:cs="方正仿宋_GBK"/>
          <w:b w:val="0"/>
          <w:bCs/>
          <w:color w:val="000000"/>
          <w:sz w:val="32"/>
          <w:szCs w:val="32"/>
          <w:highlight w:val="none"/>
          <w:shd w:val="clear" w:color="auto" w:fill="FFFFFF"/>
          <w:lang w:eastAsia="zh-CN"/>
        </w:rPr>
        <w:t>要用于开支办公费、邮电通讯费、水电费、交通费用、工会经费等。</w:t>
      </w:r>
      <w:r>
        <w:rPr>
          <w:rFonts w:hint="eastAsia" w:ascii="方正仿宋_GBK" w:hAnsi="方正仿宋_GBK" w:eastAsia="方正仿宋_GBK" w:cs="方正仿宋_GBK"/>
          <w:sz w:val="32"/>
          <w:szCs w:val="32"/>
          <w:shd w:val="clear" w:color="auto" w:fill="FFFFFF"/>
          <w:lang w:val="en-US" w:eastAsia="zh-CN" w:bidi="ar-SA"/>
        </w:rPr>
        <w:t>较上年决算数增加0.00万元。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年12月31日，本单位共有车辆</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年度本单位政府采购支出总额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万元，其中：政府采购货物支出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万元、政府采购工程支出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万元、政府采购服务支出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万元。授予中小企业合同金额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w:t>
      </w:r>
      <w:r>
        <w:rPr>
          <w:rFonts w:hint="eastAsia" w:ascii="方正仿宋_GBK" w:hAnsi="方正仿宋_GBK" w:eastAsia="方正仿宋_GBK" w:cs="方正仿宋_GBK"/>
          <w:b w:val="0"/>
          <w:bCs w:val="0"/>
          <w:sz w:val="32"/>
          <w:szCs w:val="32"/>
          <w:shd w:val="clear" w:color="auto" w:fill="FFFFFF"/>
          <w:lang w:eastAsia="zh-CN"/>
        </w:rPr>
        <w:t>。</w:t>
      </w:r>
    </w:p>
    <w:p>
      <w:pPr>
        <w:pStyle w:val="6"/>
        <w:keepNext w:val="0"/>
        <w:keepLines w:val="0"/>
        <w:pageBreakBefore w:val="0"/>
        <w:numPr>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lang w:eastAsia="zh-CN"/>
        </w:rPr>
        <w:t>五、</w:t>
      </w:r>
      <w:r>
        <w:rPr>
          <w:rStyle w:val="10"/>
          <w:rFonts w:ascii="黑体" w:hAnsi="黑体" w:eastAsia="黑体" w:cs="黑体"/>
          <w:b w:val="0"/>
          <w:bCs w:val="0"/>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个项目开展了绩效自评。</w:t>
      </w:r>
    </w:p>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highlight w:val="none"/>
          <w:shd w:val="clear" w:color="auto" w:fill="FFFFFF"/>
        </w:rPr>
        <w:t>项目支出绩效自评汇总表</w:t>
      </w:r>
    </w:p>
    <w:tbl>
      <w:tblPr>
        <w:tblStyle w:val="7"/>
        <w:tblW w:w="5000" w:type="pct"/>
        <w:tblInd w:w="0" w:type="dxa"/>
        <w:tblLayout w:type="autofit"/>
        <w:tblCellMar>
          <w:top w:w="0" w:type="dxa"/>
          <w:left w:w="108" w:type="dxa"/>
          <w:bottom w:w="0" w:type="dxa"/>
          <w:right w:w="108" w:type="dxa"/>
        </w:tblCellMar>
      </w:tblPr>
      <w:tblGrid>
        <w:gridCol w:w="1002"/>
        <w:gridCol w:w="6249"/>
        <w:gridCol w:w="1980"/>
      </w:tblGrid>
      <w:tr>
        <w:tblPrEx>
          <w:tblCellMar>
            <w:top w:w="0" w:type="dxa"/>
            <w:left w:w="108" w:type="dxa"/>
            <w:bottom w:w="0" w:type="dxa"/>
            <w:right w:w="108" w:type="dxa"/>
          </w:tblCellMar>
        </w:tblPrEx>
        <w:trPr>
          <w:trHeight w:val="239" w:hRule="atLeast"/>
        </w:trPr>
        <w:tc>
          <w:tcPr>
            <w:tcW w:w="5000" w:type="pct"/>
            <w:gridSpan w:val="3"/>
            <w:tcBorders>
              <w:top w:val="nil"/>
              <w:left w:val="nil"/>
              <w:bottom w:val="single" w:color="auto" w:sz="4" w:space="0"/>
              <w:right w:val="nil"/>
            </w:tcBorders>
            <w:shd w:val="clear" w:color="auto" w:fill="auto"/>
            <w:vAlign w:val="center"/>
          </w:tcPr>
          <w:p>
            <w:pPr>
              <w:jc w:val="both"/>
              <w:rPr>
                <w:rFonts w:hint="eastAsia" w:ascii="方正仿宋_GBK" w:hAnsi="方正仿宋_GBK" w:eastAsia="方正仿宋_GBK" w:cs="方正仿宋_GBK"/>
                <w:b w:val="0"/>
                <w:bCs/>
                <w:color w:val="000000"/>
                <w:sz w:val="32"/>
                <w:szCs w:val="32"/>
              </w:rPr>
            </w:pPr>
          </w:p>
        </w:tc>
      </w:tr>
      <w:tr>
        <w:tblPrEx>
          <w:tblCellMar>
            <w:top w:w="0" w:type="dxa"/>
            <w:left w:w="108" w:type="dxa"/>
            <w:bottom w:w="0" w:type="dxa"/>
            <w:right w:w="108" w:type="dxa"/>
          </w:tblCellMar>
        </w:tblPrEx>
        <w:trPr>
          <w:trHeight w:val="555" w:hRule="atLeast"/>
        </w:trPr>
        <w:tc>
          <w:tcPr>
            <w:tcW w:w="543"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序号</w:t>
            </w:r>
          </w:p>
        </w:tc>
        <w:tc>
          <w:tcPr>
            <w:tcW w:w="3385" w:type="pct"/>
            <w:tcBorders>
              <w:top w:val="nil"/>
              <w:left w:val="nil"/>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项目名称</w:t>
            </w:r>
          </w:p>
        </w:tc>
        <w:tc>
          <w:tcPr>
            <w:tcW w:w="1071" w:type="pct"/>
            <w:tcBorders>
              <w:top w:val="nil"/>
              <w:left w:val="nil"/>
              <w:bottom w:val="single" w:color="auto" w:sz="4" w:space="0"/>
              <w:right w:val="single" w:color="auto" w:sz="4" w:space="0"/>
            </w:tcBorders>
            <w:shd w:val="clear" w:color="auto" w:fill="auto"/>
            <w:noWrap/>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自评得分</w:t>
            </w:r>
          </w:p>
        </w:tc>
      </w:tr>
      <w:tr>
        <w:tblPrEx>
          <w:tblCellMar>
            <w:top w:w="0" w:type="dxa"/>
            <w:left w:w="108" w:type="dxa"/>
            <w:bottom w:w="0" w:type="dxa"/>
            <w:right w:w="108" w:type="dxa"/>
          </w:tblCellMar>
        </w:tblPrEx>
        <w:trPr>
          <w:trHeight w:val="555" w:hRule="atLeast"/>
        </w:trPr>
        <w:tc>
          <w:tcPr>
            <w:tcW w:w="543"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1</w:t>
            </w:r>
          </w:p>
        </w:tc>
        <w:tc>
          <w:tcPr>
            <w:tcW w:w="3385" w:type="pct"/>
            <w:tcBorders>
              <w:top w:val="nil"/>
              <w:left w:val="nil"/>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lang w:val="en-US" w:eastAsia="zh-CN"/>
              </w:rPr>
              <w:t>背街小巷清扫保洁</w:t>
            </w:r>
          </w:p>
        </w:tc>
        <w:tc>
          <w:tcPr>
            <w:tcW w:w="1071" w:type="pct"/>
            <w:tcBorders>
              <w:top w:val="nil"/>
              <w:left w:val="nil"/>
              <w:bottom w:val="single" w:color="auto" w:sz="4" w:space="0"/>
              <w:right w:val="single" w:color="auto" w:sz="4" w:space="0"/>
            </w:tcBorders>
            <w:shd w:val="clear" w:color="auto" w:fill="auto"/>
            <w:noWrap/>
            <w:vAlign w:val="center"/>
          </w:tcPr>
          <w:p>
            <w:pPr>
              <w:jc w:val="center"/>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sz w:val="32"/>
                <w:szCs w:val="32"/>
                <w:lang w:val="en-US" w:eastAsia="zh-CN"/>
              </w:rPr>
              <w:t>100</w:t>
            </w:r>
          </w:p>
        </w:tc>
      </w:tr>
      <w:tr>
        <w:tblPrEx>
          <w:tblCellMar>
            <w:top w:w="0" w:type="dxa"/>
            <w:left w:w="108" w:type="dxa"/>
            <w:bottom w:w="0" w:type="dxa"/>
            <w:right w:w="108" w:type="dxa"/>
          </w:tblCellMar>
        </w:tblPrEx>
        <w:trPr>
          <w:trHeight w:val="555" w:hRule="atLeast"/>
        </w:trPr>
        <w:tc>
          <w:tcPr>
            <w:tcW w:w="54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2</w:t>
            </w:r>
          </w:p>
        </w:tc>
        <w:tc>
          <w:tcPr>
            <w:tcW w:w="338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lang w:val="en-US" w:eastAsia="zh-CN"/>
              </w:rPr>
              <w:t>城市综合管理</w:t>
            </w:r>
          </w:p>
        </w:tc>
        <w:tc>
          <w:tcPr>
            <w:tcW w:w="1071"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sz w:val="32"/>
                <w:szCs w:val="32"/>
                <w:lang w:val="en-US" w:eastAsia="zh-CN"/>
              </w:rPr>
              <w:t>100</w:t>
            </w:r>
          </w:p>
        </w:tc>
      </w:tr>
    </w:tbl>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2.项目支出绩效自评表</w:t>
      </w:r>
      <w:bookmarkStart w:id="0" w:name="_GoBack"/>
      <w:bookmarkEnd w:id="0"/>
    </w:p>
    <w:tbl>
      <w:tblPr>
        <w:tblStyle w:val="7"/>
        <w:tblW w:w="4998" w:type="pct"/>
        <w:tblInd w:w="0" w:type="dxa"/>
        <w:tblLayout w:type="autofit"/>
        <w:tblCellMar>
          <w:top w:w="0" w:type="dxa"/>
          <w:left w:w="108" w:type="dxa"/>
          <w:bottom w:w="0" w:type="dxa"/>
          <w:right w:w="108" w:type="dxa"/>
        </w:tblCellMar>
      </w:tblPr>
      <w:tblGrid>
        <w:gridCol w:w="1118"/>
        <w:gridCol w:w="72"/>
        <w:gridCol w:w="585"/>
        <w:gridCol w:w="688"/>
        <w:gridCol w:w="826"/>
        <w:gridCol w:w="98"/>
        <w:gridCol w:w="628"/>
        <w:gridCol w:w="557"/>
        <w:gridCol w:w="271"/>
        <w:gridCol w:w="1098"/>
        <w:gridCol w:w="173"/>
        <w:gridCol w:w="638"/>
        <w:gridCol w:w="234"/>
        <w:gridCol w:w="576"/>
        <w:gridCol w:w="815"/>
        <w:gridCol w:w="827"/>
        <w:gridCol w:w="23"/>
      </w:tblGrid>
      <w:tr>
        <w:tblPrEx>
          <w:tblCellMar>
            <w:top w:w="0" w:type="dxa"/>
            <w:left w:w="108" w:type="dxa"/>
            <w:bottom w:w="0" w:type="dxa"/>
            <w:right w:w="108" w:type="dxa"/>
          </w:tblCellMar>
        </w:tblPrEx>
        <w:trPr>
          <w:trHeight w:val="540"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项目名称：</w:t>
            </w:r>
          </w:p>
        </w:tc>
        <w:tc>
          <w:tcPr>
            <w:tcW w:w="1144"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cs="宋体"/>
                <w:color w:val="000000"/>
                <w:sz w:val="18"/>
                <w:szCs w:val="18"/>
                <w:lang w:eastAsia="zh-CN"/>
              </w:rPr>
            </w:pPr>
            <w:r>
              <w:rPr>
                <w:rFonts w:hint="eastAsia" w:cs="宋体"/>
                <w:color w:val="000000"/>
                <w:sz w:val="18"/>
                <w:szCs w:val="18"/>
                <w:lang w:eastAsia="zh-CN"/>
              </w:rPr>
              <w:t>背街小巷清扫保洁</w:t>
            </w:r>
          </w:p>
        </w:tc>
        <w:tc>
          <w:tcPr>
            <w:tcW w:w="66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执行率得分：</w:t>
            </w:r>
          </w:p>
        </w:tc>
        <w:tc>
          <w:tcPr>
            <w:tcW w:w="84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hint="eastAsia" w:cs="宋体"/>
                <w:b/>
                <w:bCs/>
                <w:color w:val="000000"/>
                <w:sz w:val="18"/>
                <w:szCs w:val="18"/>
                <w:lang w:val="en-US" w:eastAsia="zh-CN"/>
              </w:rPr>
              <w:t>10</w:t>
            </w: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自评总分：</w:t>
            </w:r>
          </w:p>
        </w:tc>
        <w:tc>
          <w:tcPr>
            <w:tcW w:w="1219"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bCs/>
                <w:color w:val="000000"/>
                <w:sz w:val="18"/>
                <w:szCs w:val="18"/>
                <w:lang w:val="en-US" w:eastAsia="zh-CN"/>
              </w:rPr>
            </w:pPr>
            <w:r>
              <w:rPr>
                <w:rFonts w:hint="eastAsia" w:cs="宋体"/>
                <w:b/>
                <w:bCs/>
                <w:color w:val="000000"/>
                <w:sz w:val="18"/>
                <w:szCs w:val="18"/>
                <w:lang w:val="en-US" w:eastAsia="zh-CN"/>
              </w:rPr>
              <w:t>100</w:t>
            </w:r>
          </w:p>
        </w:tc>
      </w:tr>
      <w:tr>
        <w:tblPrEx>
          <w:tblCellMar>
            <w:top w:w="0" w:type="dxa"/>
            <w:left w:w="108" w:type="dxa"/>
            <w:bottom w:w="0" w:type="dxa"/>
            <w:right w:w="108" w:type="dxa"/>
          </w:tblCellMar>
        </w:tblPrEx>
        <w:trPr>
          <w:gridAfter w:val="1"/>
          <w:wAfter w:w="14" w:type="pct"/>
          <w:trHeight w:val="435" w:hRule="atLeast"/>
        </w:trPr>
        <w:tc>
          <w:tcPr>
            <w:tcW w:w="4985"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gridAfter w:val="1"/>
          <w:wAfter w:w="14" w:type="pct"/>
          <w:trHeight w:val="435" w:hRule="atLeast"/>
        </w:trPr>
        <w:tc>
          <w:tcPr>
            <w:tcW w:w="184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年初绩效目标</w:t>
            </w:r>
          </w:p>
        </w:tc>
        <w:tc>
          <w:tcPr>
            <w:tcW w:w="1460"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全年（调整）绩效目标</w:t>
            </w:r>
          </w:p>
        </w:tc>
        <w:tc>
          <w:tcPr>
            <w:tcW w:w="1682"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gridAfter w:val="1"/>
          <w:wAfter w:w="14" w:type="pct"/>
          <w:trHeight w:val="975" w:hRule="atLeast"/>
        </w:trPr>
        <w:tc>
          <w:tcPr>
            <w:tcW w:w="1842" w:type="pct"/>
            <w:gridSpan w:val="6"/>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hint="eastAsia" w:cs="宋体"/>
                <w:sz w:val="18"/>
                <w:szCs w:val="18"/>
              </w:rPr>
            </w:pPr>
            <w:r>
              <w:rPr>
                <w:rFonts w:hint="eastAsia" w:cs="宋体"/>
                <w:sz w:val="18"/>
                <w:szCs w:val="18"/>
                <w:lang w:val="en-US" w:eastAsia="zh-CN"/>
              </w:rPr>
              <w:t>常态化对辖区181条背街小巷进行清扫保洁，做到清扫垃圾日产日清，每月对背街小区清扫保洁及各卫生死角的清除工作至少2次检查验收。背街小巷环境卫生质量明显提升，进一步擦亮城市底色，让城市更加干净整洁靓丽。</w:t>
            </w:r>
          </w:p>
          <w:p>
            <w:pPr>
              <w:jc w:val="both"/>
              <w:rPr>
                <w:rFonts w:hint="default" w:cs="宋体"/>
                <w:sz w:val="18"/>
                <w:szCs w:val="18"/>
              </w:rPr>
            </w:pPr>
          </w:p>
        </w:tc>
        <w:tc>
          <w:tcPr>
            <w:tcW w:w="1460" w:type="pct"/>
            <w:gridSpan w:val="5"/>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both"/>
              <w:rPr>
                <w:rFonts w:hint="default" w:cs="宋体"/>
                <w:sz w:val="18"/>
                <w:szCs w:val="18"/>
              </w:rPr>
            </w:pPr>
            <w:r>
              <w:rPr>
                <w:rFonts w:hint="eastAsia" w:cs="宋体"/>
                <w:sz w:val="18"/>
                <w:szCs w:val="18"/>
                <w:lang w:val="en-US" w:eastAsia="zh-CN"/>
              </w:rPr>
              <w:t>常态化对辖区181条背街小巷进行清扫保洁，做到清扫垃圾日产日清，每月对背街小区清扫保洁及各卫生死角的清除工作至少2次检查验收。背街小巷环境卫生质量明显提升，进一步擦亮城市底色，让城市更加干净整洁靓丽。</w:t>
            </w:r>
          </w:p>
        </w:tc>
        <w:tc>
          <w:tcPr>
            <w:tcW w:w="1682" w:type="pct"/>
            <w:gridSpan w:val="5"/>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both"/>
              <w:rPr>
                <w:rFonts w:hint="default" w:cs="宋体"/>
                <w:sz w:val="18"/>
                <w:szCs w:val="18"/>
              </w:rPr>
            </w:pPr>
            <w:r>
              <w:rPr>
                <w:rFonts w:hint="eastAsia" w:cs="宋体"/>
                <w:sz w:val="18"/>
                <w:szCs w:val="18"/>
                <w:lang w:val="en-US" w:eastAsia="zh-CN"/>
              </w:rPr>
              <w:t>对辖区181条背街小巷进行清扫保洁，做到清扫垃圾日产日清，每月对背街小区清扫保洁及各卫生死角的清除工作至少2次检查验收。背街小巷环境卫生质量明显提升，进一步擦亮城市底色，让城市更加干净整洁靓丽。</w:t>
            </w:r>
          </w:p>
        </w:tc>
      </w:tr>
      <w:tr>
        <w:tblPrEx>
          <w:tblCellMar>
            <w:top w:w="0" w:type="dxa"/>
            <w:left w:w="108" w:type="dxa"/>
            <w:bottom w:w="0" w:type="dxa"/>
            <w:right w:w="108" w:type="dxa"/>
          </w:tblCellMar>
        </w:tblPrEx>
        <w:trPr>
          <w:gridAfter w:val="1"/>
          <w:wAfter w:w="14" w:type="pct"/>
          <w:trHeight w:val="435" w:hRule="atLeast"/>
        </w:trPr>
        <w:tc>
          <w:tcPr>
            <w:tcW w:w="4985"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gridAfter w:val="1"/>
          <w:wAfter w:w="14" w:type="pct"/>
          <w:trHeight w:val="1080"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指标名称</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计量单位</w:t>
            </w:r>
          </w:p>
        </w:tc>
        <w:tc>
          <w:tcPr>
            <w:tcW w:w="37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指标性质</w:t>
            </w:r>
          </w:p>
        </w:tc>
        <w:tc>
          <w:tcPr>
            <w:tcW w:w="448"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指标值</w:t>
            </w:r>
          </w:p>
        </w:tc>
        <w:tc>
          <w:tcPr>
            <w:tcW w:w="36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全年完成值</w:t>
            </w:r>
          </w:p>
        </w:tc>
        <w:tc>
          <w:tcPr>
            <w:tcW w:w="45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偏离度（%）</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得分系数（%）</w:t>
            </w:r>
          </w:p>
        </w:tc>
        <w:tc>
          <w:tcPr>
            <w:tcW w:w="44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指标权重</w:t>
            </w:r>
          </w:p>
        </w:tc>
        <w:tc>
          <w:tcPr>
            <w:tcW w:w="44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指标得分</w:t>
            </w:r>
          </w:p>
        </w:tc>
        <w:tc>
          <w:tcPr>
            <w:tcW w:w="443"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是否核心指标</w:t>
            </w:r>
          </w:p>
        </w:tc>
        <w:tc>
          <w:tcPr>
            <w:tcW w:w="446"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gridAfter w:val="1"/>
          <w:wAfter w:w="14" w:type="pct"/>
          <w:trHeight w:val="435"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清扫垃圾每日清理频次</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次</w:t>
            </w:r>
          </w:p>
        </w:tc>
        <w:tc>
          <w:tcPr>
            <w:tcW w:w="37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w:t>
            </w:r>
          </w:p>
        </w:tc>
        <w:tc>
          <w:tcPr>
            <w:tcW w:w="44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w:t>
            </w:r>
          </w:p>
        </w:tc>
        <w:tc>
          <w:tcPr>
            <w:tcW w:w="36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100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20</w:t>
            </w:r>
          </w:p>
        </w:tc>
        <w:tc>
          <w:tcPr>
            <w:tcW w:w="44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否</w:t>
            </w:r>
          </w:p>
        </w:tc>
        <w:tc>
          <w:tcPr>
            <w:tcW w:w="446"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18"/>
                <w:szCs w:val="18"/>
              </w:rPr>
            </w:pPr>
          </w:p>
        </w:tc>
      </w:tr>
      <w:tr>
        <w:tblPrEx>
          <w:tblCellMar>
            <w:top w:w="0" w:type="dxa"/>
            <w:left w:w="108" w:type="dxa"/>
            <w:bottom w:w="0" w:type="dxa"/>
            <w:right w:w="108" w:type="dxa"/>
          </w:tblCellMar>
        </w:tblPrEx>
        <w:trPr>
          <w:gridAfter w:val="1"/>
          <w:wAfter w:w="14" w:type="pct"/>
          <w:trHeight w:val="435"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保洁成果验收频次</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eastAsia="宋体" w:cs="宋体"/>
                <w:color w:val="000000"/>
                <w:sz w:val="18"/>
                <w:szCs w:val="18"/>
                <w:lang w:val="en-US" w:eastAsia="zh-CN"/>
              </w:rPr>
            </w:pPr>
            <w:r>
              <w:rPr>
                <w:rFonts w:hint="eastAsia" w:cs="宋体"/>
                <w:color w:val="000000"/>
                <w:sz w:val="18"/>
                <w:szCs w:val="18"/>
                <w:lang w:val="en-US" w:eastAsia="zh-CN"/>
              </w:rPr>
              <w:t>次/年</w:t>
            </w:r>
          </w:p>
        </w:tc>
        <w:tc>
          <w:tcPr>
            <w:tcW w:w="37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w:t>
            </w:r>
          </w:p>
        </w:tc>
        <w:tc>
          <w:tcPr>
            <w:tcW w:w="44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24</w:t>
            </w:r>
          </w:p>
        </w:tc>
        <w:tc>
          <w:tcPr>
            <w:tcW w:w="36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26</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8.33</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100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20</w:t>
            </w:r>
          </w:p>
        </w:tc>
        <w:tc>
          <w:tcPr>
            <w:tcW w:w="44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否</w:t>
            </w:r>
          </w:p>
        </w:tc>
        <w:tc>
          <w:tcPr>
            <w:tcW w:w="446"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18"/>
                <w:szCs w:val="18"/>
              </w:rPr>
            </w:pPr>
          </w:p>
        </w:tc>
      </w:tr>
      <w:tr>
        <w:tblPrEx>
          <w:tblCellMar>
            <w:top w:w="0" w:type="dxa"/>
            <w:left w:w="108" w:type="dxa"/>
            <w:bottom w:w="0" w:type="dxa"/>
            <w:right w:w="108" w:type="dxa"/>
          </w:tblCellMar>
        </w:tblPrEx>
        <w:trPr>
          <w:gridAfter w:val="1"/>
          <w:wAfter w:w="14" w:type="pct"/>
          <w:trHeight w:val="435"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sz w:val="18"/>
                <w:szCs w:val="18"/>
                <w:lang w:val="en-US" w:eastAsia="zh-CN"/>
              </w:rPr>
            </w:pPr>
            <w:r>
              <w:rPr>
                <w:rFonts w:hint="eastAsia" w:cs="宋体"/>
                <w:sz w:val="18"/>
                <w:szCs w:val="18"/>
                <w:lang w:val="en-US" w:eastAsia="zh-CN"/>
              </w:rPr>
              <w:t>清扫保洁点位</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个</w:t>
            </w:r>
          </w:p>
        </w:tc>
        <w:tc>
          <w:tcPr>
            <w:tcW w:w="37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w:t>
            </w:r>
          </w:p>
        </w:tc>
        <w:tc>
          <w:tcPr>
            <w:tcW w:w="44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181</w:t>
            </w:r>
          </w:p>
        </w:tc>
        <w:tc>
          <w:tcPr>
            <w:tcW w:w="36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181</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100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40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40</w:t>
            </w:r>
          </w:p>
        </w:tc>
        <w:tc>
          <w:tcPr>
            <w:tcW w:w="44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是</w:t>
            </w:r>
          </w:p>
        </w:tc>
        <w:tc>
          <w:tcPr>
            <w:tcW w:w="446"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18"/>
                <w:szCs w:val="18"/>
              </w:rPr>
            </w:pPr>
          </w:p>
        </w:tc>
      </w:tr>
      <w:tr>
        <w:tblPrEx>
          <w:tblCellMar>
            <w:top w:w="0" w:type="dxa"/>
            <w:left w:w="108" w:type="dxa"/>
            <w:bottom w:w="0" w:type="dxa"/>
            <w:right w:w="108" w:type="dxa"/>
          </w:tblCellMar>
        </w:tblPrEx>
        <w:trPr>
          <w:gridAfter w:val="1"/>
          <w:wAfter w:w="14" w:type="pct"/>
          <w:trHeight w:val="840" w:hRule="atLeast"/>
        </w:trPr>
        <w:tc>
          <w:tcPr>
            <w:tcW w:w="6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sz w:val="18"/>
                <w:szCs w:val="18"/>
                <w:lang w:val="en-US" w:eastAsia="zh-CN"/>
              </w:rPr>
            </w:pPr>
            <w:r>
              <w:rPr>
                <w:rFonts w:hint="eastAsia" w:cs="宋体"/>
                <w:sz w:val="18"/>
                <w:szCs w:val="18"/>
                <w:lang w:val="en-US" w:eastAsia="zh-CN"/>
              </w:rPr>
              <w:t>群众对清扫保洁效果满意度</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5</w:t>
            </w:r>
          </w:p>
        </w:tc>
        <w:tc>
          <w:tcPr>
            <w:tcW w:w="3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5</w:t>
            </w:r>
          </w:p>
        </w:tc>
        <w:tc>
          <w:tcPr>
            <w:tcW w:w="4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100</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10</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default" w:cs="宋体"/>
                <w:color w:val="000000"/>
                <w:sz w:val="18"/>
                <w:szCs w:val="18"/>
                <w:lang w:val="en-US" w:eastAsia="zh-CN"/>
              </w:rPr>
            </w:pPr>
            <w:r>
              <w:rPr>
                <w:rFonts w:hint="eastAsia" w:cs="宋体"/>
                <w:color w:val="000000"/>
                <w:sz w:val="18"/>
                <w:szCs w:val="18"/>
                <w:lang w:val="en-US" w:eastAsia="zh-CN"/>
              </w:rPr>
              <w:t>10</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center"/>
              <w:textAlignment w:val="center"/>
              <w:rPr>
                <w:rFonts w:hint="eastAsia" w:cs="宋体"/>
                <w:color w:val="000000"/>
                <w:sz w:val="18"/>
                <w:szCs w:val="18"/>
                <w:lang w:val="en-US" w:eastAsia="zh-CN"/>
              </w:rPr>
            </w:pPr>
            <w:r>
              <w:rPr>
                <w:rFonts w:hint="eastAsia" w:cs="宋体"/>
                <w:color w:val="000000"/>
                <w:sz w:val="18"/>
                <w:szCs w:val="18"/>
                <w:lang w:val="en-US" w:eastAsia="zh-CN"/>
              </w:rPr>
              <w:t>否</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000000"/>
                <w:sz w:val="18"/>
                <w:szCs w:val="18"/>
              </w:rPr>
            </w:pPr>
          </w:p>
        </w:tc>
      </w:tr>
    </w:tbl>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hAnsi="方正仿宋_GBK" w:eastAsia="方正仿宋_GBK" w:cs="方正仿宋_GBK"/>
          <w:sz w:val="32"/>
          <w:szCs w:val="32"/>
          <w:shd w:val="clear" w:color="auto" w:fill="FFFFFF"/>
        </w:rPr>
        <w:t>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（十）项目支出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（十一）经营支出</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（十二）“三公”经费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（十三）机关运行经费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（十四）工资福利支出（支出经济分类科目类级）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（十五）商品和服务支出（支出经济分类科目类级）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（十六）对个人和家庭的补助（支出经济分类科目类级）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（十七）其他资本性支出（支出经济分类科目类级）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cs="宋体"/>
          <w:b w:val="0"/>
          <w:bCs/>
          <w:sz w:val="21"/>
          <w:szCs w:val="21"/>
        </w:rPr>
      </w:pPr>
      <w:r>
        <w:rPr>
          <w:rFonts w:ascii="方正仿宋_GBK" w:hAnsi="方正仿宋_GBK" w:eastAsia="方正仿宋_GBK" w:cs="方正仿宋_GBK"/>
          <w:b w:val="0"/>
          <w:bCs/>
          <w:sz w:val="32"/>
          <w:szCs w:val="32"/>
          <w:shd w:val="clear" w:color="auto" w:fill="FFFFFF"/>
        </w:rPr>
        <w:t>本单位决算公开信息反馈和联系方式：</w:t>
      </w:r>
      <w:r>
        <w:rPr>
          <w:rFonts w:hint="eastAsia" w:ascii="方正仿宋_GBK" w:hAnsi="方正仿宋_GBK" w:eastAsia="方正仿宋_GBK" w:cs="方正仿宋_GBK"/>
          <w:b w:val="0"/>
          <w:bCs/>
          <w:sz w:val="32"/>
          <w:szCs w:val="32"/>
          <w:shd w:val="clear" w:color="auto" w:fill="FFFFFF"/>
          <w:lang w:eastAsia="zh-CN"/>
        </w:rPr>
        <w:t>聂同志</w:t>
      </w:r>
      <w:r>
        <w:rPr>
          <w:rFonts w:hint="eastAsia" w:ascii="方正仿宋_GBK" w:hAnsi="方正仿宋_GBK" w:eastAsia="方正仿宋_GBK" w:cs="方正仿宋_GBK"/>
          <w:b w:val="0"/>
          <w:bCs/>
          <w:sz w:val="32"/>
          <w:szCs w:val="32"/>
          <w:shd w:val="clear" w:color="auto" w:fill="FFFFFF"/>
          <w:lang w:val="en-US" w:eastAsia="zh-CN"/>
        </w:rPr>
        <w:t xml:space="preserve"> 72865345</w:t>
      </w:r>
    </w:p>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超粗黑_GBK">
    <w:panose1 w:val="02000000000000000000"/>
    <w:charset w:val="86"/>
    <w:family w:val="auto"/>
    <w:pitch w:val="default"/>
    <w:sig w:usb0="00000001" w:usb1="08000000" w:usb2="00000000" w:usb3="00000000" w:csb0="00040000" w:csb1="00000000"/>
  </w:font>
  <w:font w:name="汉仪中圆简">
    <w:panose1 w:val="00020600040101010101"/>
    <w:charset w:val="86"/>
    <w:family w:val="auto"/>
    <w:pitch w:val="default"/>
    <w:sig w:usb0="A00002BF" w:usb1="18EF7CFA" w:usb2="00000016" w:usb3="00000000" w:csb0="00040000" w:csb1="00000000"/>
  </w:font>
  <w:font w:name="汉仪中宋简">
    <w:panose1 w:val="02010600000101010101"/>
    <w:charset w:val="86"/>
    <w:family w:val="auto"/>
    <w:pitch w:val="default"/>
    <w:sig w:usb0="00000001" w:usb1="080E0800" w:usb2="00000002" w:usb3="00000000" w:csb0="00040000" w:csb1="00000000"/>
  </w:font>
  <w:font w:name="汉仪中等线B5">
    <w:panose1 w:val="0101010401010101010B"/>
    <w:charset w:val="86"/>
    <w:family w:val="auto"/>
    <w:pitch w:val="default"/>
    <w:sig w:usb0="800000A3" w:usb1="00497878" w:usb2="00000000" w:usb3="00000000" w:csb0="00040001" w:csb1="00000000"/>
  </w:font>
  <w:font w:name="汉仪中等线简">
    <w:panose1 w:val="02010600000101010101"/>
    <w:charset w:val="86"/>
    <w:family w:val="auto"/>
    <w:pitch w:val="default"/>
    <w:sig w:usb0="00000001" w:usb1="080E0800" w:usb2="00000002" w:usb3="00000000" w:csb0="00040000" w:csb1="00000000"/>
  </w:font>
  <w:font w:name="汉仪中简黑简">
    <w:panose1 w:val="00020600040101010101"/>
    <w:charset w:val="86"/>
    <w:family w:val="auto"/>
    <w:pitch w:val="default"/>
    <w:sig w:usb0="A00002BF" w:usb1="18EF7CFA" w:usb2="00000016"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魏碑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9B67B8"/>
    <w:rsid w:val="009D2B67"/>
    <w:rsid w:val="00B03CCD"/>
    <w:rsid w:val="00B05EC2"/>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017043"/>
    <w:rsid w:val="0B9335CE"/>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8083A"/>
    <w:rsid w:val="1159793B"/>
    <w:rsid w:val="115D1DC5"/>
    <w:rsid w:val="11643A4B"/>
    <w:rsid w:val="11ED0F98"/>
    <w:rsid w:val="11F03528"/>
    <w:rsid w:val="12C921C4"/>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906A4"/>
    <w:rsid w:val="1A6B5E42"/>
    <w:rsid w:val="1B6F15B6"/>
    <w:rsid w:val="1BAA2EDC"/>
    <w:rsid w:val="1CA55E64"/>
    <w:rsid w:val="1CC677C6"/>
    <w:rsid w:val="1D014A01"/>
    <w:rsid w:val="1D022362"/>
    <w:rsid w:val="1D1B04B0"/>
    <w:rsid w:val="1DA52501"/>
    <w:rsid w:val="1DBD6767"/>
    <w:rsid w:val="1DC52125"/>
    <w:rsid w:val="1DD26311"/>
    <w:rsid w:val="1E374ACB"/>
    <w:rsid w:val="1ECF0A66"/>
    <w:rsid w:val="1ED244D1"/>
    <w:rsid w:val="1EF67CA4"/>
    <w:rsid w:val="1F020D3A"/>
    <w:rsid w:val="1F1D1533"/>
    <w:rsid w:val="1F2C5189"/>
    <w:rsid w:val="1F4B0B02"/>
    <w:rsid w:val="1FBB35CD"/>
    <w:rsid w:val="1FCD26AF"/>
    <w:rsid w:val="20642787"/>
    <w:rsid w:val="21556F04"/>
    <w:rsid w:val="22403BD3"/>
    <w:rsid w:val="2410697A"/>
    <w:rsid w:val="24B92327"/>
    <w:rsid w:val="24C14514"/>
    <w:rsid w:val="2533755C"/>
    <w:rsid w:val="25791755"/>
    <w:rsid w:val="26396DF4"/>
    <w:rsid w:val="27167136"/>
    <w:rsid w:val="271B442C"/>
    <w:rsid w:val="27B23302"/>
    <w:rsid w:val="29310A5F"/>
    <w:rsid w:val="29B8023B"/>
    <w:rsid w:val="29C37A35"/>
    <w:rsid w:val="2A076083"/>
    <w:rsid w:val="2A73162E"/>
    <w:rsid w:val="2B167953"/>
    <w:rsid w:val="2B200583"/>
    <w:rsid w:val="2B8209DE"/>
    <w:rsid w:val="2B8A75DF"/>
    <w:rsid w:val="2C636760"/>
    <w:rsid w:val="2C6762A3"/>
    <w:rsid w:val="2D1E205E"/>
    <w:rsid w:val="2EAB60CF"/>
    <w:rsid w:val="2FCA4B37"/>
    <w:rsid w:val="2FE029D7"/>
    <w:rsid w:val="2FF06E00"/>
    <w:rsid w:val="30586FEC"/>
    <w:rsid w:val="315F0B22"/>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6B601E"/>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3E6327"/>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326890"/>
    <w:rsid w:val="40BD5482"/>
    <w:rsid w:val="411B6CE5"/>
    <w:rsid w:val="412070D7"/>
    <w:rsid w:val="41314E40"/>
    <w:rsid w:val="41BA691D"/>
    <w:rsid w:val="41E0734B"/>
    <w:rsid w:val="426C1EA8"/>
    <w:rsid w:val="42736402"/>
    <w:rsid w:val="42E86A87"/>
    <w:rsid w:val="43307B09"/>
    <w:rsid w:val="439A3EB9"/>
    <w:rsid w:val="43BB152F"/>
    <w:rsid w:val="44C37687"/>
    <w:rsid w:val="45CB699A"/>
    <w:rsid w:val="464B051A"/>
    <w:rsid w:val="465B470D"/>
    <w:rsid w:val="469D6AD4"/>
    <w:rsid w:val="471E6C84"/>
    <w:rsid w:val="4748792B"/>
    <w:rsid w:val="475D719D"/>
    <w:rsid w:val="47674801"/>
    <w:rsid w:val="48225EF7"/>
    <w:rsid w:val="488F422B"/>
    <w:rsid w:val="48E36915"/>
    <w:rsid w:val="48EB6572"/>
    <w:rsid w:val="495C4A24"/>
    <w:rsid w:val="497135DF"/>
    <w:rsid w:val="4A263DF2"/>
    <w:rsid w:val="4A6220FA"/>
    <w:rsid w:val="4A6F6675"/>
    <w:rsid w:val="4B135857"/>
    <w:rsid w:val="4B7951CB"/>
    <w:rsid w:val="4B7C315C"/>
    <w:rsid w:val="4DAC4ACA"/>
    <w:rsid w:val="4DBE01D2"/>
    <w:rsid w:val="4F0C6BA3"/>
    <w:rsid w:val="4F186D58"/>
    <w:rsid w:val="4F9F43C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4D7AB8"/>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C6169"/>
    <w:rsid w:val="6EFD1324"/>
    <w:rsid w:val="6F5A53AC"/>
    <w:rsid w:val="6FAC003D"/>
    <w:rsid w:val="6FE55E12"/>
    <w:rsid w:val="6FFB2E76"/>
    <w:rsid w:val="708F6F7F"/>
    <w:rsid w:val="70D94BD3"/>
    <w:rsid w:val="71C34D91"/>
    <w:rsid w:val="72DB435C"/>
    <w:rsid w:val="72E2613A"/>
    <w:rsid w:val="72F771F4"/>
    <w:rsid w:val="73934AD2"/>
    <w:rsid w:val="743F5851"/>
    <w:rsid w:val="75053E40"/>
    <w:rsid w:val="750837F0"/>
    <w:rsid w:val="754758CF"/>
    <w:rsid w:val="75BA64AB"/>
    <w:rsid w:val="7646068F"/>
    <w:rsid w:val="764F62AB"/>
    <w:rsid w:val="765C45EC"/>
    <w:rsid w:val="768A7619"/>
    <w:rsid w:val="772E1EBA"/>
    <w:rsid w:val="781926BC"/>
    <w:rsid w:val="796D60A4"/>
    <w:rsid w:val="79A031D5"/>
    <w:rsid w:val="7A1525F7"/>
    <w:rsid w:val="7B420052"/>
    <w:rsid w:val="7BD06A28"/>
    <w:rsid w:val="7BE06A5E"/>
    <w:rsid w:val="7C3A7C0B"/>
    <w:rsid w:val="7C5248E4"/>
    <w:rsid w:val="7C566698"/>
    <w:rsid w:val="7C5866A3"/>
    <w:rsid w:val="7D7406BB"/>
    <w:rsid w:val="7DD50E82"/>
    <w:rsid w:val="7DE94331"/>
    <w:rsid w:val="7F446A19"/>
    <w:rsid w:val="7F7452B9"/>
    <w:rsid w:val="FBFB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3973</Words>
  <Characters>4371</Characters>
  <Lines>193</Lines>
  <Paragraphs>54</Paragraphs>
  <TotalTime>55</TotalTime>
  <ScaleCrop>false</ScaleCrop>
  <LinksUpToDate>false</LinksUpToDate>
  <CharactersWithSpaces>4418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2025-11-06T10:42:25Z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