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重庆市涪陵区人民政府荔枝街道</w:t>
      </w:r>
      <w:r>
        <w:rPr>
          <w:rFonts w:hint="eastAsia" w:ascii="方正小标宋_GBK" w:hAnsi="方正小标宋_GBK" w:eastAsia="方正小标宋_GBK" w:cs="方正小标宋_GBK"/>
          <w:sz w:val="44"/>
          <w:szCs w:val="44"/>
          <w:lang w:eastAsia="zh-CN"/>
        </w:rPr>
        <w:t>综合行政执法大队</w:t>
      </w:r>
      <w:r>
        <w:rPr>
          <w:rFonts w:hint="eastAsia" w:ascii="方正小标宋_GBK" w:hAnsi="方正小标宋_GBK" w:eastAsia="方正小标宋_GBK" w:cs="方正小标宋_GBK"/>
          <w:sz w:val="44"/>
          <w:szCs w:val="44"/>
          <w:lang w:val="en-US" w:eastAsia="zh-CN"/>
        </w:rPr>
        <w:t>2</w:t>
      </w:r>
      <w:r>
        <w:rPr>
          <w:rFonts w:ascii="方正小标宋_GBK" w:hAnsi="方正小标宋_GBK" w:eastAsia="方正小标宋_GBK" w:cs="方正小标宋_GBK"/>
          <w:sz w:val="44"/>
          <w:szCs w:val="44"/>
          <w:shd w:val="clear" w:color="auto" w:fill="FFFFFF"/>
        </w:rPr>
        <w:t>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ascii="黑体" w:hAnsi="黑体" w:eastAsia="黑体" w:cs="黑体"/>
          <w:b w:val="0"/>
          <w:bCs/>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eastAsia="zh-CN"/>
        </w:rPr>
        <w:t>综合执法岗主要负责综合行政执法、违法建筑巡查、制止、拆除等工作。</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楷体" w:hAnsi="楷体" w:eastAsia="楷体" w:cs="楷体"/>
          <w:b w:val="0"/>
          <w:bCs/>
          <w:sz w:val="32"/>
          <w:szCs w:val="32"/>
        </w:rPr>
      </w:pPr>
      <w:r>
        <w:rPr>
          <w:rStyle w:val="10"/>
          <w:rFonts w:ascii="楷体" w:hAnsi="楷体" w:eastAsia="楷体" w:cs="楷体"/>
          <w:b w:val="0"/>
          <w:bCs/>
          <w:sz w:val="32"/>
          <w:szCs w:val="32"/>
          <w:shd w:val="clear" w:color="auto" w:fill="FFFFFF"/>
        </w:rPr>
        <w:t>（二）机构设置</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eastAsia="zh-CN"/>
        </w:rPr>
        <w:t>综合执法岗。</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黑体" w:hAnsi="黑体" w:eastAsia="黑体" w:cs="黑体"/>
          <w:b w:val="0"/>
          <w:bCs/>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1.总体情况。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年度收入总计</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万元，支出总计</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元。收支较上年决算数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10.06万元，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5.08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人员社保、医疗保险费用增长</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2.收入情况。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年度收入合计</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10.06</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5.08</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主要原因是部门财力增加</w:t>
      </w:r>
      <w:r>
        <w:rPr>
          <w:rFonts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100.00</w:t>
      </w:r>
      <w:r>
        <w:rPr>
          <w:rFonts w:ascii="方正仿宋_GBK" w:hAnsi="方正仿宋_GBK" w:eastAsia="方正仿宋_GBK" w:cs="方正仿宋_GBK"/>
          <w:b w:val="0"/>
          <w:bCs/>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sz w:val="32"/>
          <w:szCs w:val="32"/>
          <w:shd w:val="clear" w:color="auto" w:fill="FFFFFF"/>
          <w:lang w:val="en-US" w:eastAsia="zh-CN"/>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3.支出情况。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年度支出合计</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10.06</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5.08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人员社保、医疗保险费用增长，</w:t>
      </w:r>
      <w:r>
        <w:rPr>
          <w:rFonts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shd w:val="clear" w:color="auto" w:fill="FFFFFF"/>
          <w:lang w:val="en-US" w:eastAsia="zh-CN"/>
        </w:rPr>
        <w:t>192.81</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97.37</w:t>
      </w:r>
      <w:r>
        <w:rPr>
          <w:rFonts w:ascii="方正仿宋_GBK" w:hAnsi="方正仿宋_GBK" w:eastAsia="方正仿宋_GBK" w:cs="方正仿宋_GBK"/>
          <w:b w:val="0"/>
          <w:bCs/>
          <w:sz w:val="32"/>
          <w:szCs w:val="32"/>
          <w:shd w:val="clear" w:color="auto" w:fill="FFFFFF"/>
        </w:rPr>
        <w:t>%；项目支出</w:t>
      </w:r>
      <w:r>
        <w:rPr>
          <w:rFonts w:hint="eastAsia" w:ascii="方正仿宋_GBK" w:hAnsi="方正仿宋_GBK" w:eastAsia="方正仿宋_GBK" w:cs="方正仿宋_GBK"/>
          <w:b w:val="0"/>
          <w:bCs/>
          <w:sz w:val="32"/>
          <w:szCs w:val="32"/>
          <w:shd w:val="clear" w:color="auto" w:fill="FFFFFF"/>
          <w:lang w:val="en-US" w:eastAsia="zh-CN"/>
        </w:rPr>
        <w:t>5.2</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2.63</w:t>
      </w:r>
      <w:r>
        <w:rPr>
          <w:rFonts w:ascii="方正仿宋_GBK" w:hAnsi="方正仿宋_GBK" w:eastAsia="方正仿宋_GBK" w:cs="方正仿宋_GBK"/>
          <w:b w:val="0"/>
          <w:bCs/>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方正仿宋_GBK" w:hAnsi="方正仿宋_GBK" w:eastAsia="方正仿宋_GBK" w:cs="方正仿宋_GBK"/>
          <w:b w:val="0"/>
          <w:bCs/>
          <w:sz w:val="32"/>
          <w:szCs w:val="32"/>
          <w:shd w:val="clear" w:color="auto" w:fill="FFFFFF"/>
        </w:rPr>
        <w:t>4.结转结余情况。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年度年末结转和结余</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年度财政拨款收、支总计</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万元。与202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年相比，财政拨款收、支总计各</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10.06</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5.08</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人员社保、医疗保险费用增长</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highlight w:val="none"/>
          <w:shd w:val="clear" w:color="auto" w:fill="FFFFFF"/>
        </w:rPr>
      </w:pPr>
      <w:r>
        <w:rPr>
          <w:rStyle w:val="10"/>
          <w:rFonts w:ascii="方正仿宋_GBK" w:hAnsi="方正仿宋_GBK" w:eastAsia="方正仿宋_GBK" w:cs="方正仿宋_GBK"/>
          <w:b w:val="0"/>
          <w:bCs/>
          <w:sz w:val="32"/>
          <w:szCs w:val="32"/>
          <w:shd w:val="clear" w:color="auto" w:fill="FFFFFF"/>
        </w:rPr>
        <w:t>1.收入情况。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年度一般公共预算财政拨款收入</w:t>
      </w:r>
      <w:r>
        <w:rPr>
          <w:rFonts w:hint="eastAsia" w:ascii="方正仿宋_GBK" w:hAnsi="方正仿宋_GBK" w:eastAsia="方正仿宋_GBK" w:cs="方正仿宋_GBK"/>
          <w:b w:val="0"/>
          <w:bCs/>
          <w:sz w:val="32"/>
          <w:szCs w:val="32"/>
          <w:shd w:val="clear" w:color="auto" w:fill="FFFFFF"/>
          <w:lang w:val="en-US" w:eastAsia="zh-CN"/>
        </w:rPr>
        <w:t>198.01</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10.06</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5.08</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减少</w:t>
      </w:r>
      <w:r>
        <w:rPr>
          <w:rFonts w:hint="eastAsia" w:ascii="方正仿宋_GBK" w:hAnsi="方正仿宋_GBK" w:eastAsia="方正仿宋_GBK" w:cs="方正仿宋_GBK"/>
          <w:b w:val="0"/>
          <w:bCs/>
          <w:sz w:val="32"/>
          <w:szCs w:val="32"/>
          <w:highlight w:val="none"/>
          <w:shd w:val="clear" w:color="auto" w:fill="FFFFFF"/>
          <w:lang w:val="en-US" w:eastAsia="zh-CN"/>
        </w:rPr>
        <w:t>1.65</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下降</w:t>
      </w:r>
      <w:r>
        <w:rPr>
          <w:rFonts w:hint="eastAsia" w:ascii="方正仿宋_GBK" w:hAnsi="方正仿宋_GBK" w:eastAsia="方正仿宋_GBK" w:cs="方正仿宋_GBK"/>
          <w:b w:val="0"/>
          <w:bCs/>
          <w:sz w:val="32"/>
          <w:szCs w:val="32"/>
          <w:highlight w:val="none"/>
          <w:shd w:val="clear" w:color="auto" w:fill="FFFFFF"/>
          <w:lang w:val="en-US" w:eastAsia="zh-CN"/>
        </w:rPr>
        <w:t>0.83</w:t>
      </w:r>
      <w:r>
        <w:rPr>
          <w:rFonts w:ascii="方正仿宋_GBK" w:hAnsi="方正仿宋_GBK" w:eastAsia="方正仿宋_GBK" w:cs="方正仿宋_GBK"/>
          <w:b w:val="0"/>
          <w:bCs/>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highlight w:val="none"/>
          <w:shd w:val="clear" w:color="auto" w:fill="FFFFFF"/>
          <w:lang w:eastAsia="zh-CN"/>
        </w:rPr>
      </w:pPr>
      <w:r>
        <w:rPr>
          <w:rStyle w:val="10"/>
          <w:rFonts w:ascii="方正仿宋_GBK" w:hAnsi="方正仿宋_GBK" w:eastAsia="方正仿宋_GBK" w:cs="方正仿宋_GBK"/>
          <w:b w:val="0"/>
          <w:bCs/>
          <w:sz w:val="32"/>
          <w:szCs w:val="32"/>
          <w:highlight w:val="none"/>
          <w:shd w:val="clear" w:color="auto" w:fill="FFFFFF"/>
        </w:rPr>
        <w:t>2.支出情况。</w:t>
      </w:r>
      <w:r>
        <w:rPr>
          <w:rFonts w:ascii="方正仿宋_GBK" w:hAnsi="方正仿宋_GBK" w:eastAsia="方正仿宋_GBK" w:cs="方正仿宋_GBK"/>
          <w:b w:val="0"/>
          <w:bCs/>
          <w:sz w:val="32"/>
          <w:szCs w:val="32"/>
          <w:highlight w:val="none"/>
          <w:shd w:val="clear" w:color="auto" w:fill="FFFFFF"/>
        </w:rPr>
        <w:t>202</w:t>
      </w:r>
      <w:r>
        <w:rPr>
          <w:rFonts w:hint="eastAsia" w:ascii="方正仿宋_GBK" w:hAnsi="方正仿宋_GBK" w:eastAsia="方正仿宋_GBK" w:cs="方正仿宋_GBK"/>
          <w:b w:val="0"/>
          <w:bCs/>
          <w:sz w:val="32"/>
          <w:szCs w:val="32"/>
          <w:highlight w:val="none"/>
          <w:shd w:val="clear" w:color="auto" w:fill="FFFFFF"/>
          <w:lang w:val="en-US" w:eastAsia="zh-CN"/>
        </w:rPr>
        <w:t>4</w:t>
      </w:r>
      <w:r>
        <w:rPr>
          <w:rFonts w:ascii="方正仿宋_GBK" w:hAnsi="方正仿宋_GBK" w:eastAsia="方正仿宋_GBK" w:cs="方正仿宋_GBK"/>
          <w:b w:val="0"/>
          <w:bCs/>
          <w:sz w:val="32"/>
          <w:szCs w:val="32"/>
          <w:highlight w:val="none"/>
          <w:shd w:val="clear" w:color="auto" w:fill="FFFFFF"/>
        </w:rPr>
        <w:t>年度一般公共预算财政拨款支出</w:t>
      </w:r>
      <w:r>
        <w:rPr>
          <w:rFonts w:hint="eastAsia" w:ascii="方正仿宋_GBK" w:hAnsi="方正仿宋_GBK" w:eastAsia="方正仿宋_GBK" w:cs="方正仿宋_GBK"/>
          <w:b w:val="0"/>
          <w:bCs/>
          <w:sz w:val="32"/>
          <w:szCs w:val="32"/>
          <w:highlight w:val="none"/>
          <w:shd w:val="clear" w:color="auto" w:fill="FFFFFF"/>
          <w:lang w:val="en-US" w:eastAsia="zh-CN"/>
        </w:rPr>
        <w:t>198.01</w:t>
      </w:r>
      <w:r>
        <w:rPr>
          <w:rFonts w:ascii="方正仿宋_GBK" w:hAnsi="方正仿宋_GBK" w:eastAsia="方正仿宋_GBK" w:cs="方正仿宋_GBK"/>
          <w:b w:val="0"/>
          <w:bCs/>
          <w:sz w:val="32"/>
          <w:szCs w:val="32"/>
          <w:highlight w:val="none"/>
          <w:shd w:val="clear" w:color="auto" w:fill="FFFFFF"/>
        </w:rPr>
        <w:t>万元，较上年决算数增加</w:t>
      </w:r>
      <w:r>
        <w:rPr>
          <w:rFonts w:hint="eastAsia" w:ascii="方正仿宋_GBK" w:hAnsi="方正仿宋_GBK" w:eastAsia="方正仿宋_GBK" w:cs="方正仿宋_GBK"/>
          <w:b w:val="0"/>
          <w:bCs/>
          <w:sz w:val="32"/>
          <w:szCs w:val="32"/>
          <w:highlight w:val="none"/>
          <w:shd w:val="clear" w:color="auto" w:fill="FFFFFF"/>
          <w:lang w:val="en-US" w:eastAsia="zh-CN"/>
        </w:rPr>
        <w:t>10.06</w:t>
      </w:r>
      <w:r>
        <w:rPr>
          <w:rFonts w:ascii="方正仿宋_GBK" w:hAnsi="方正仿宋_GBK" w:eastAsia="方正仿宋_GBK" w:cs="方正仿宋_GBK"/>
          <w:b w:val="0"/>
          <w:bCs/>
          <w:sz w:val="32"/>
          <w:szCs w:val="32"/>
          <w:highlight w:val="none"/>
          <w:shd w:val="clear" w:color="auto" w:fill="FFFFFF"/>
        </w:rPr>
        <w:t>万元，增长</w:t>
      </w:r>
      <w:r>
        <w:rPr>
          <w:rFonts w:hint="eastAsia" w:ascii="方正仿宋_GBK" w:hAnsi="方正仿宋_GBK" w:eastAsia="方正仿宋_GBK" w:cs="方正仿宋_GBK"/>
          <w:b w:val="0"/>
          <w:bCs/>
          <w:sz w:val="32"/>
          <w:szCs w:val="32"/>
          <w:highlight w:val="none"/>
          <w:shd w:val="clear" w:color="auto" w:fill="FFFFFF"/>
          <w:lang w:val="en-US" w:eastAsia="zh-CN"/>
        </w:rPr>
        <w:t>5.08</w:t>
      </w:r>
      <w:r>
        <w:rPr>
          <w:rFonts w:ascii="方正仿宋_GBK" w:hAnsi="方正仿宋_GBK" w:eastAsia="方正仿宋_GBK" w:cs="方正仿宋_GBK"/>
          <w:b w:val="0"/>
          <w:bCs/>
          <w:sz w:val="32"/>
          <w:szCs w:val="32"/>
          <w:highlight w:val="none"/>
          <w:shd w:val="clear" w:color="auto" w:fill="FFFFFF"/>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人员社保、医疗保险费用增长</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减少</w:t>
      </w:r>
      <w:r>
        <w:rPr>
          <w:rFonts w:hint="eastAsia" w:ascii="方正仿宋_GBK" w:hAnsi="方正仿宋_GBK" w:eastAsia="方正仿宋_GBK" w:cs="方正仿宋_GBK"/>
          <w:b w:val="0"/>
          <w:bCs/>
          <w:sz w:val="32"/>
          <w:szCs w:val="32"/>
          <w:highlight w:val="none"/>
          <w:shd w:val="clear" w:color="auto" w:fill="FFFFFF"/>
          <w:lang w:val="en-US" w:eastAsia="zh-CN"/>
        </w:rPr>
        <w:t>1.65</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增长下降</w:t>
      </w:r>
      <w:r>
        <w:rPr>
          <w:rFonts w:hint="eastAsia" w:ascii="方正仿宋_GBK" w:hAnsi="方正仿宋_GBK" w:eastAsia="方正仿宋_GBK" w:cs="方正仿宋_GBK"/>
          <w:b w:val="0"/>
          <w:bCs/>
          <w:sz w:val="32"/>
          <w:szCs w:val="32"/>
          <w:highlight w:val="none"/>
          <w:shd w:val="clear" w:color="auto" w:fill="FFFFFF"/>
          <w:lang w:val="en-US" w:eastAsia="zh-CN"/>
        </w:rPr>
        <w:t>0.83</w:t>
      </w:r>
      <w:r>
        <w:rPr>
          <w:rFonts w:ascii="方正仿宋_GBK" w:hAnsi="方正仿宋_GBK" w:eastAsia="方正仿宋_GBK" w:cs="方正仿宋_GBK"/>
          <w:b w:val="0"/>
          <w:bCs/>
          <w:sz w:val="32"/>
          <w:szCs w:val="32"/>
          <w:highlight w:val="none"/>
          <w:shd w:val="clear" w:color="auto" w:fill="FFFFFF"/>
        </w:rPr>
        <w:t>%</w:t>
      </w:r>
      <w:r>
        <w:rPr>
          <w:rFonts w:hint="eastAsia" w:ascii="方正仿宋_GBK" w:hAnsi="方正仿宋_GBK" w:eastAsia="方正仿宋_GBK" w:cs="方正仿宋_GBK"/>
          <w:b w:val="0"/>
          <w:bCs/>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万元，较上年决算数减少</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FF0000"/>
          <w:sz w:val="32"/>
          <w:szCs w:val="32"/>
          <w:highlight w:val="cyan"/>
          <w:shd w:val="clear" w:color="auto" w:fill="FFFFFF"/>
        </w:rPr>
      </w:pPr>
      <w:r>
        <w:rPr>
          <w:rStyle w:val="10"/>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本单位202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年度一般公共预算财政拨款支出主要用于以下几个方面：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社会保障和就业支</w:t>
      </w:r>
      <w:r>
        <w:rPr>
          <w:rFonts w:ascii="方正仿宋_GBK" w:hAnsi="方正仿宋_GBK" w:eastAsia="方正仿宋_GBK" w:cs="方正仿宋_GBK"/>
          <w:b w:val="0"/>
          <w:bCs/>
          <w:sz w:val="32"/>
          <w:szCs w:val="32"/>
          <w:shd w:val="clear" w:color="auto" w:fill="FFFFFF"/>
        </w:rPr>
        <w:t>出</w:t>
      </w:r>
      <w:r>
        <w:rPr>
          <w:rFonts w:hint="eastAsia" w:ascii="方正仿宋_GBK" w:hAnsi="方正仿宋_GBK" w:eastAsia="方正仿宋_GBK" w:cs="方正仿宋_GBK"/>
          <w:b w:val="0"/>
          <w:bCs/>
          <w:sz w:val="32"/>
          <w:szCs w:val="32"/>
          <w:shd w:val="clear" w:color="auto" w:fill="FFFFFF"/>
          <w:lang w:val="en-US" w:eastAsia="zh-CN"/>
        </w:rPr>
        <w:t>35.83</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18.1</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16.22</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82.5</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要原因是人员支出增加。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shd w:val="clear" w:color="auto" w:fill="FFFFFF"/>
          <w:lang w:val="en-US" w:eastAsia="zh-CN"/>
        </w:rPr>
        <w:t>9.51</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4.8</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1.67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21.3</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要原因是人员医疗保险支出增加。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城乡社区</w:t>
      </w:r>
      <w:r>
        <w:rPr>
          <w:rFonts w:ascii="方正仿宋_GBK" w:hAnsi="方正仿宋_GBK" w:eastAsia="方正仿宋_GBK" w:cs="方正仿宋_GBK"/>
          <w:b w:val="0"/>
          <w:bCs/>
          <w:sz w:val="32"/>
          <w:szCs w:val="32"/>
          <w:shd w:val="clear" w:color="auto" w:fill="FFFFFF"/>
        </w:rPr>
        <w:t>支出</w:t>
      </w:r>
      <w:r>
        <w:rPr>
          <w:rFonts w:hint="eastAsia" w:ascii="方正仿宋_GBK" w:hAnsi="方正仿宋_GBK" w:eastAsia="方正仿宋_GBK" w:cs="方正仿宋_GBK"/>
          <w:b w:val="0"/>
          <w:bCs/>
          <w:sz w:val="32"/>
          <w:szCs w:val="32"/>
          <w:shd w:val="clear" w:color="auto" w:fill="FFFFFF"/>
          <w:lang w:val="en-US" w:eastAsia="zh-CN"/>
        </w:rPr>
        <w:t>145.5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73.48</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6.76</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4.87</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要原因是人员经费支出增加。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）住房保障支出</w:t>
      </w:r>
      <w:r>
        <w:rPr>
          <w:rFonts w:hint="eastAsia" w:ascii="方正仿宋_GBK" w:hAnsi="方正仿宋_GBK" w:eastAsia="方正仿宋_GBK" w:cs="方正仿宋_GBK"/>
          <w:b w:val="0"/>
          <w:bCs/>
          <w:sz w:val="32"/>
          <w:szCs w:val="32"/>
          <w:shd w:val="clear" w:color="auto" w:fill="FFFFFF"/>
          <w:lang w:val="en-US" w:eastAsia="zh-CN"/>
        </w:rPr>
        <w:t>7.17</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3.62</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和年初预算数一致。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年度一般公共财政拨款基本支出</w:t>
      </w:r>
      <w:r>
        <w:rPr>
          <w:rFonts w:hint="eastAsia" w:ascii="方正仿宋_GBK" w:hAnsi="方正仿宋_GBK" w:eastAsia="方正仿宋_GBK" w:cs="方正仿宋_GBK"/>
          <w:b w:val="0"/>
          <w:bCs/>
          <w:sz w:val="32"/>
          <w:szCs w:val="32"/>
          <w:shd w:val="clear" w:color="auto" w:fill="FFFFFF"/>
          <w:lang w:val="en-US" w:eastAsia="zh-CN"/>
        </w:rPr>
        <w:t>192.81</w:t>
      </w:r>
      <w:r>
        <w:rPr>
          <w:rFonts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shd w:val="clear" w:color="auto" w:fill="FFFFFF"/>
          <w:lang w:val="en-US" w:eastAsia="zh-CN"/>
        </w:rPr>
        <w:t>154.49</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27.1</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21.27</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要原因是人员支出增加。</w:t>
      </w:r>
      <w:r>
        <w:rPr>
          <w:rFonts w:hint="eastAsia" w:ascii="方正仿宋_GBK" w:hAnsi="方正仿宋_GBK" w:eastAsia="方正仿宋_GBK" w:cs="方正仿宋_GBK"/>
          <w:b w:val="0"/>
          <w:bCs/>
          <w:sz w:val="32"/>
          <w:szCs w:val="32"/>
          <w:shd w:val="clear" w:color="auto" w:fill="FFFFFF"/>
        </w:rPr>
        <w:t>人员经费用途主要包括</w:t>
      </w:r>
      <w:r>
        <w:rPr>
          <w:rFonts w:hint="eastAsia" w:ascii="方正仿宋_GBK" w:hAnsi="方正仿宋_GBK" w:eastAsia="方正仿宋_GBK" w:cs="方正仿宋_GBK"/>
          <w:b w:val="0"/>
          <w:bCs/>
          <w:color w:val="000000"/>
          <w:sz w:val="32"/>
          <w:szCs w:val="32"/>
          <w:highlight w:val="none"/>
        </w:rPr>
        <w:t>主要用于</w:t>
      </w:r>
      <w:r>
        <w:rPr>
          <w:rFonts w:hint="eastAsia" w:ascii="方正仿宋_GBK" w:hAnsi="方正仿宋_GBK" w:eastAsia="方正仿宋_GBK" w:cs="方正仿宋_GBK"/>
          <w:b w:val="0"/>
          <w:bCs/>
          <w:color w:val="000000"/>
          <w:sz w:val="32"/>
          <w:szCs w:val="32"/>
          <w:highlight w:val="none"/>
          <w:lang w:eastAsia="zh-CN"/>
        </w:rPr>
        <w:t>单位开支的在职职工的各类</w:t>
      </w:r>
      <w:r>
        <w:rPr>
          <w:rFonts w:hint="eastAsia" w:ascii="方正仿宋_GBK" w:hAnsi="方正仿宋_GBK" w:eastAsia="方正仿宋_GBK" w:cs="方正仿宋_GBK"/>
          <w:b w:val="0"/>
          <w:bCs/>
          <w:sz w:val="32"/>
          <w:szCs w:val="32"/>
          <w:shd w:val="clear" w:color="auto" w:fill="FFFFFF"/>
          <w:lang w:val="en-US" w:eastAsia="zh-CN" w:bidi="ar-SA"/>
        </w:rPr>
        <w:t>劳动报酬及社保、公积金缴纳，退休人员支出等。公用经费32.6万元，较上年决算数增加18.72万元，主要原因是差旅费、委托业务费、电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年度政府性基金预算财政拨款年初结转结余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万元，年末结转结余</w:t>
      </w:r>
      <w:r>
        <w:rPr>
          <w:rFonts w:hint="eastAsia" w:ascii="方正仿宋_GBK" w:hAnsi="方正仿宋_GBK" w:eastAsia="方正仿宋_GBK" w:cs="方正仿宋_GBK"/>
          <w:b w:val="0"/>
          <w:bCs/>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万元，本年度培训费支出</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eastAsia="zh-CN"/>
        </w:rPr>
        <w:t>降低</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000000"/>
          <w:sz w:val="32"/>
          <w:szCs w:val="32"/>
          <w:highlight w:val="none"/>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年度本单位机关运行经费支出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万元，机关运行经费主</w:t>
      </w:r>
      <w:r>
        <w:rPr>
          <w:rFonts w:hint="eastAsia" w:ascii="方正仿宋_GBK" w:hAnsi="方正仿宋_GBK" w:eastAsia="方正仿宋_GBK" w:cs="方正仿宋_GBK"/>
          <w:b w:val="0"/>
          <w:bCs/>
          <w:color w:val="000000"/>
          <w:sz w:val="32"/>
          <w:szCs w:val="32"/>
          <w:highlight w:val="none"/>
          <w:shd w:val="clear" w:color="auto" w:fill="FFFFFF"/>
          <w:lang w:eastAsia="zh-CN"/>
        </w:rPr>
        <w:t>要用于开支办公费、邮电通讯费、水电费、交通费用、工会经费等。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年12月31日，本单位共有车辆</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年度本单位政府采购支出总额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万元，其中：政府采购货物支出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万元、政府采购服务支出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五、</w:t>
      </w:r>
      <w:r>
        <w:rPr>
          <w:rStyle w:val="10"/>
          <w:rFonts w:ascii="黑体" w:hAnsi="黑体" w:eastAsia="黑体" w:cs="黑体"/>
          <w:b w:val="0"/>
          <w:bCs/>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sz w:val="32"/>
          <w:szCs w:val="32"/>
          <w:highlight w:val="yellow"/>
        </w:rPr>
      </w:pPr>
      <w:r>
        <w:rPr>
          <w:rFonts w:hint="eastAsia" w:ascii="方正仿宋_GBK" w:hAnsi="方正仿宋_GBK" w:eastAsia="方正仿宋_GBK" w:cs="方正仿宋_GBK"/>
          <w:b w:val="0"/>
          <w:bCs/>
          <w:sz w:val="32"/>
          <w:szCs w:val="32"/>
          <w:shd w:val="clear" w:color="auto" w:fill="FFFFFF"/>
        </w:rPr>
        <w:t>根据预算绩效管理要求，我单位对</w:t>
      </w:r>
      <w:r>
        <w:rPr>
          <w:rFonts w:hint="eastAsia" w:ascii="方正仿宋_GBK" w:hAnsi="方正仿宋_GBK" w:eastAsia="方正仿宋_GBK" w:cs="方正仿宋_GBK"/>
          <w:b w:val="0"/>
          <w:bCs/>
          <w:sz w:val="32"/>
          <w:szCs w:val="32"/>
          <w:shd w:val="clear" w:color="auto" w:fill="FFFFFF"/>
          <w:lang w:val="en-US" w:eastAsia="zh-CN"/>
        </w:rPr>
        <w:t>1</w:t>
      </w:r>
      <w:r>
        <w:rPr>
          <w:rFonts w:hint="eastAsia" w:ascii="方正仿宋_GBK" w:hAnsi="方正仿宋_GBK" w:eastAsia="方正仿宋_GBK" w:cs="方正仿宋_GBK"/>
          <w:b w:val="0"/>
          <w:bCs/>
          <w:sz w:val="32"/>
          <w:szCs w:val="32"/>
          <w:shd w:val="clear" w:color="auto" w:fill="FFFFFF"/>
        </w:rPr>
        <w:t>个项目开展了绩效自评。</w:t>
      </w:r>
    </w:p>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b w:val="0"/>
          <w:bCs/>
          <w:sz w:val="32"/>
          <w:szCs w:val="32"/>
          <w:highlight w:val="none"/>
          <w:shd w:val="clear" w:color="auto" w:fill="FFFFFF"/>
        </w:rPr>
      </w:pPr>
      <w:r>
        <w:rPr>
          <w:rFonts w:hint="eastAsia" w:ascii="方正仿宋_GBK" w:hAnsi="方正仿宋_GBK" w:eastAsia="方正仿宋_GBK" w:cs="方正仿宋_GBK"/>
          <w:b w:val="0"/>
          <w:bCs/>
          <w:sz w:val="32"/>
          <w:szCs w:val="32"/>
          <w:shd w:val="clear" w:color="auto" w:fill="FFFFFF"/>
        </w:rPr>
        <w:t>1.</w:t>
      </w:r>
      <w:r>
        <w:rPr>
          <w:rFonts w:hint="eastAsia" w:ascii="方正仿宋_GBK" w:hAnsi="方正仿宋_GBK" w:eastAsia="方正仿宋_GBK" w:cs="方正仿宋_GBK"/>
          <w:b w:val="0"/>
          <w:bCs/>
          <w:sz w:val="32"/>
          <w:szCs w:val="32"/>
          <w:highlight w:val="none"/>
          <w:shd w:val="clear" w:color="auto" w:fill="FFFFFF"/>
        </w:rPr>
        <w:t>项目支出绩效自评汇总表</w:t>
      </w:r>
    </w:p>
    <w:tbl>
      <w:tblPr>
        <w:tblStyle w:val="7"/>
        <w:tblW w:w="5000" w:type="pct"/>
        <w:tblInd w:w="0" w:type="dxa"/>
        <w:tblLayout w:type="autofit"/>
        <w:tblCellMar>
          <w:top w:w="0" w:type="dxa"/>
          <w:left w:w="108" w:type="dxa"/>
          <w:bottom w:w="0" w:type="dxa"/>
          <w:right w:w="108" w:type="dxa"/>
        </w:tblCellMar>
      </w:tblPr>
      <w:tblGrid>
        <w:gridCol w:w="1772"/>
        <w:gridCol w:w="4379"/>
        <w:gridCol w:w="3080"/>
      </w:tblGrid>
      <w:tr>
        <w:tblPrEx>
          <w:tblCellMar>
            <w:top w:w="0" w:type="dxa"/>
            <w:left w:w="108" w:type="dxa"/>
            <w:bottom w:w="0" w:type="dxa"/>
            <w:right w:w="108" w:type="dxa"/>
          </w:tblCellMar>
        </w:tblPrEx>
        <w:trPr>
          <w:trHeight w:val="345" w:hRule="atLeast"/>
        </w:trPr>
        <w:tc>
          <w:tcPr>
            <w:tcW w:w="5000" w:type="pct"/>
            <w:gridSpan w:val="3"/>
            <w:tcBorders>
              <w:top w:val="nil"/>
              <w:left w:val="nil"/>
              <w:bottom w:val="single" w:color="auto" w:sz="4" w:space="0"/>
              <w:right w:val="nil"/>
            </w:tcBorders>
            <w:shd w:val="clear" w:color="auto" w:fill="auto"/>
            <w:vAlign w:val="center"/>
          </w:tcPr>
          <w:p>
            <w:pPr>
              <w:jc w:val="center"/>
              <w:rPr>
                <w:rFonts w:hint="default" w:ascii="方正仿宋_GBK" w:eastAsia="方正仿宋_GBK" w:cs="宋体"/>
                <w:b w:val="0"/>
                <w:bCs/>
                <w:color w:val="000000"/>
                <w:sz w:val="30"/>
                <w:szCs w:val="30"/>
              </w:rPr>
            </w:pPr>
          </w:p>
        </w:tc>
      </w:tr>
      <w:tr>
        <w:tblPrEx>
          <w:tblCellMar>
            <w:top w:w="0" w:type="dxa"/>
            <w:left w:w="108" w:type="dxa"/>
            <w:bottom w:w="0" w:type="dxa"/>
            <w:right w:w="108" w:type="dxa"/>
          </w:tblCellMar>
        </w:tblPrEx>
        <w:trPr>
          <w:trHeight w:val="555" w:hRule="atLeast"/>
        </w:trPr>
        <w:tc>
          <w:tcPr>
            <w:tcW w:w="960"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color w:val="000000"/>
                <w:sz w:val="30"/>
                <w:szCs w:val="30"/>
              </w:rPr>
            </w:pPr>
            <w:r>
              <w:rPr>
                <w:rFonts w:ascii="方正仿宋_GBK" w:eastAsia="方正仿宋_GBK" w:cs="宋体"/>
                <w:b w:val="0"/>
                <w:bCs/>
                <w:color w:val="000000"/>
                <w:sz w:val="30"/>
                <w:szCs w:val="30"/>
              </w:rPr>
              <w:t>序号</w:t>
            </w:r>
          </w:p>
        </w:tc>
        <w:tc>
          <w:tcPr>
            <w:tcW w:w="2372" w:type="pct"/>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color w:val="000000"/>
                <w:sz w:val="30"/>
                <w:szCs w:val="30"/>
              </w:rPr>
            </w:pPr>
            <w:r>
              <w:rPr>
                <w:rFonts w:ascii="方正仿宋_GBK" w:eastAsia="方正仿宋_GBK" w:cs="宋体"/>
                <w:b w:val="0"/>
                <w:bCs/>
                <w:color w:val="000000"/>
                <w:sz w:val="30"/>
                <w:szCs w:val="30"/>
              </w:rPr>
              <w:t>项目名称</w:t>
            </w:r>
          </w:p>
        </w:tc>
        <w:tc>
          <w:tcPr>
            <w:tcW w:w="1667"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eastAsia="方正仿宋_GBK" w:cs="宋体"/>
                <w:b w:val="0"/>
                <w:bCs/>
                <w:color w:val="000000"/>
                <w:sz w:val="30"/>
                <w:szCs w:val="30"/>
              </w:rPr>
            </w:pPr>
            <w:r>
              <w:rPr>
                <w:rFonts w:ascii="方正仿宋_GBK" w:eastAsia="方正仿宋_GBK" w:cs="宋体"/>
                <w:b w:val="0"/>
                <w:bCs/>
                <w:color w:val="000000"/>
                <w:sz w:val="30"/>
                <w:szCs w:val="30"/>
              </w:rPr>
              <w:t>自评得分</w:t>
            </w:r>
          </w:p>
        </w:tc>
      </w:tr>
      <w:tr>
        <w:tblPrEx>
          <w:tblCellMar>
            <w:top w:w="0" w:type="dxa"/>
            <w:left w:w="108" w:type="dxa"/>
            <w:bottom w:w="0" w:type="dxa"/>
            <w:right w:w="108" w:type="dxa"/>
          </w:tblCellMar>
        </w:tblPrEx>
        <w:trPr>
          <w:trHeight w:val="555" w:hRule="atLeast"/>
        </w:trPr>
        <w:tc>
          <w:tcPr>
            <w:tcW w:w="960"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0"/>
                <w:szCs w:val="30"/>
              </w:rPr>
            </w:pPr>
            <w:r>
              <w:rPr>
                <w:rFonts w:ascii="方正仿宋_GBK" w:hAnsi="Times New Roman" w:eastAsia="方正仿宋_GBK"/>
                <w:b w:val="0"/>
                <w:bCs/>
                <w:color w:val="000000"/>
                <w:sz w:val="30"/>
                <w:szCs w:val="30"/>
              </w:rPr>
              <w:t>1</w:t>
            </w:r>
          </w:p>
        </w:tc>
        <w:tc>
          <w:tcPr>
            <w:tcW w:w="2372" w:type="pct"/>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0"/>
                <w:szCs w:val="30"/>
              </w:rPr>
            </w:pPr>
            <w:r>
              <w:rPr>
                <w:rFonts w:hint="default" w:ascii="方正仿宋_GBK" w:hAnsi="Times New Roman" w:eastAsia="方正仿宋_GBK"/>
                <w:b w:val="0"/>
                <w:bCs/>
                <w:color w:val="000000"/>
                <w:sz w:val="30"/>
                <w:szCs w:val="30"/>
              </w:rPr>
              <w:t>安全监管与综合执法</w:t>
            </w:r>
          </w:p>
        </w:tc>
        <w:tc>
          <w:tcPr>
            <w:tcW w:w="1667"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val="0"/>
                <w:bCs/>
                <w:color w:val="000000"/>
                <w:sz w:val="30"/>
                <w:szCs w:val="30"/>
                <w:lang w:val="en-US"/>
              </w:rPr>
            </w:pPr>
            <w:r>
              <w:rPr>
                <w:rFonts w:hint="eastAsia" w:ascii="方正仿宋_GBK" w:hAnsi="Times New Roman" w:eastAsia="方正仿宋_GBK"/>
                <w:b w:val="0"/>
                <w:bCs/>
                <w:color w:val="000000"/>
                <w:sz w:val="30"/>
                <w:szCs w:val="30"/>
                <w:lang w:val="en-US" w:eastAsia="zh-CN"/>
              </w:rPr>
              <w:t>100</w:t>
            </w:r>
          </w:p>
        </w:tc>
      </w:tr>
    </w:tbl>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hint="eastAsia" w:ascii="方正仿宋_GBK" w:hAnsi="方正仿宋_GBK" w:eastAsia="方正仿宋_GBK" w:cs="方正仿宋_GBK"/>
          <w:b w:val="0"/>
          <w:bCs/>
          <w:sz w:val="32"/>
          <w:szCs w:val="32"/>
          <w:highlight w:val="none"/>
          <w:shd w:val="clear" w:color="auto" w:fill="FFFFFF"/>
        </w:rPr>
      </w:pPr>
      <w:r>
        <w:rPr>
          <w:rFonts w:hint="eastAsia" w:ascii="方正仿宋_GBK" w:hAnsi="方正仿宋_GBK" w:eastAsia="方正仿宋_GBK" w:cs="方正仿宋_GBK"/>
          <w:b w:val="0"/>
          <w:bCs/>
          <w:sz w:val="32"/>
          <w:szCs w:val="32"/>
          <w:highlight w:val="none"/>
          <w:shd w:val="clear" w:color="auto" w:fill="FFFFFF"/>
        </w:rPr>
        <w:t>2.项目支出绩效自评表</w:t>
      </w:r>
    </w:p>
    <w:tbl>
      <w:tblPr>
        <w:tblStyle w:val="7"/>
        <w:tblW w:w="4998" w:type="pct"/>
        <w:tblInd w:w="0" w:type="dxa"/>
        <w:tblLayout w:type="autofit"/>
        <w:tblCellMar>
          <w:top w:w="0" w:type="dxa"/>
          <w:left w:w="108" w:type="dxa"/>
          <w:bottom w:w="0" w:type="dxa"/>
          <w:right w:w="108" w:type="dxa"/>
        </w:tblCellMar>
      </w:tblPr>
      <w:tblGrid>
        <w:gridCol w:w="1124"/>
        <w:gridCol w:w="74"/>
        <w:gridCol w:w="591"/>
        <w:gridCol w:w="694"/>
        <w:gridCol w:w="915"/>
        <w:gridCol w:w="581"/>
        <w:gridCol w:w="561"/>
        <w:gridCol w:w="273"/>
        <w:gridCol w:w="1102"/>
        <w:gridCol w:w="179"/>
        <w:gridCol w:w="642"/>
        <w:gridCol w:w="238"/>
        <w:gridCol w:w="581"/>
        <w:gridCol w:w="819"/>
        <w:gridCol w:w="827"/>
        <w:gridCol w:w="26"/>
      </w:tblGrid>
      <w:tr>
        <w:tblPrEx>
          <w:tblCellMar>
            <w:top w:w="0" w:type="dxa"/>
            <w:left w:w="108" w:type="dxa"/>
            <w:bottom w:w="0" w:type="dxa"/>
            <w:right w:w="108" w:type="dxa"/>
          </w:tblCellMar>
        </w:tblPrEx>
        <w:trPr>
          <w:trHeight w:val="540"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项目名称：</w:t>
            </w:r>
          </w:p>
        </w:tc>
        <w:tc>
          <w:tcPr>
            <w:tcW w:w="1192"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eastAsia="zh-CN"/>
              </w:rPr>
            </w:pPr>
            <w:r>
              <w:rPr>
                <w:rFonts w:hint="eastAsia" w:eastAsia="宋体" w:cs="宋体"/>
                <w:color w:val="000000"/>
                <w:sz w:val="18"/>
                <w:szCs w:val="18"/>
                <w:lang w:eastAsia="zh-CN"/>
              </w:rPr>
              <w:t>安全监管与综合执法</w:t>
            </w:r>
          </w:p>
        </w:tc>
        <w:tc>
          <w:tcPr>
            <w:tcW w:w="619"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执行率得分：</w:t>
            </w:r>
          </w:p>
        </w:tc>
        <w:tc>
          <w:tcPr>
            <w:tcW w:w="84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hint="eastAsia" w:cs="宋体"/>
                <w:b/>
                <w:bCs/>
                <w:color w:val="000000"/>
                <w:sz w:val="18"/>
                <w:szCs w:val="18"/>
                <w:lang w:val="en-US" w:eastAsia="zh-CN"/>
              </w:rPr>
              <w:t>10</w:t>
            </w: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自评总分：</w:t>
            </w:r>
          </w:p>
        </w:tc>
        <w:tc>
          <w:tcPr>
            <w:tcW w:w="1219"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bCs/>
                <w:color w:val="000000"/>
                <w:sz w:val="18"/>
                <w:szCs w:val="18"/>
                <w:lang w:val="en-US" w:eastAsia="zh-CN"/>
              </w:rPr>
            </w:pPr>
            <w:r>
              <w:rPr>
                <w:rFonts w:hint="eastAsia" w:cs="宋体"/>
                <w:b/>
                <w:bCs/>
                <w:color w:val="000000"/>
                <w:sz w:val="18"/>
                <w:szCs w:val="18"/>
                <w:lang w:val="en-US" w:eastAsia="zh-CN"/>
              </w:rPr>
              <w:t>100</w:t>
            </w: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gridAfter w:val="1"/>
          <w:wAfter w:w="14" w:type="pct"/>
          <w:trHeight w:val="43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年初绩效目标</w:t>
            </w:r>
          </w:p>
        </w:tc>
        <w:tc>
          <w:tcPr>
            <w:tcW w:w="1461"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全年（调整）绩效目标</w:t>
            </w:r>
          </w:p>
        </w:tc>
        <w:tc>
          <w:tcPr>
            <w:tcW w:w="1682"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gridAfter w:val="1"/>
          <w:wAfter w:w="14" w:type="pct"/>
          <w:trHeight w:val="97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hint="eastAsia" w:eastAsia="宋体" w:cs="宋体"/>
                <w:color w:val="000000"/>
                <w:sz w:val="18"/>
                <w:szCs w:val="18"/>
                <w:lang w:val="en-US" w:eastAsia="zh-CN"/>
              </w:rPr>
            </w:pPr>
            <w:r>
              <w:rPr>
                <w:rFonts w:hint="eastAsia" w:eastAsia="宋体" w:cs="宋体"/>
                <w:color w:val="000000"/>
                <w:sz w:val="18"/>
                <w:szCs w:val="18"/>
                <w:lang w:val="en-US" w:eastAsia="zh-CN"/>
              </w:rPr>
              <w:t>抓好综合行政执法工作，定期和不定期开展道路交通、林业、违法建筑、消防、劳动保障等宣传和执法经强制工作。通过数字化执法平台，减少执法程序，加快执法的处置速度。</w:t>
            </w:r>
          </w:p>
          <w:p>
            <w:pPr>
              <w:jc w:val="both"/>
              <w:rPr>
                <w:rFonts w:hint="default" w:cs="宋体"/>
                <w:sz w:val="18"/>
                <w:szCs w:val="18"/>
              </w:rPr>
            </w:pPr>
          </w:p>
        </w:tc>
        <w:tc>
          <w:tcPr>
            <w:tcW w:w="1461" w:type="pct"/>
            <w:gridSpan w:val="5"/>
            <w:tcBorders>
              <w:top w:val="single" w:color="auto" w:sz="4" w:space="0"/>
              <w:left w:val="nil"/>
              <w:bottom w:val="single" w:color="auto" w:sz="4" w:space="0"/>
              <w:right w:val="single" w:color="auto" w:sz="4" w:space="0"/>
            </w:tcBorders>
            <w:shd w:val="clear" w:color="auto" w:fill="auto"/>
            <w:vAlign w:val="top"/>
          </w:tcPr>
          <w:p>
            <w:pPr>
              <w:jc w:val="both"/>
              <w:rPr>
                <w:rFonts w:hint="default" w:eastAsia="宋体" w:cs="宋体"/>
                <w:color w:val="000000"/>
                <w:sz w:val="18"/>
                <w:szCs w:val="18"/>
                <w:lang w:val="en-US" w:eastAsia="zh-CN"/>
              </w:rPr>
            </w:pPr>
            <w:r>
              <w:rPr>
                <w:rFonts w:hint="eastAsia" w:eastAsia="宋体" w:cs="宋体"/>
                <w:color w:val="000000"/>
                <w:sz w:val="18"/>
                <w:szCs w:val="18"/>
                <w:lang w:val="en-US" w:eastAsia="zh-CN"/>
              </w:rPr>
              <w:t>抓好综合行政执法工作，定期和不定期开展道路交通、林业、违法建筑、消防、劳动保障等宣传和执法经强制工作。通过数字化执法平台，减少执法程序，加快执法的处置速度。</w:t>
            </w:r>
          </w:p>
        </w:tc>
        <w:tc>
          <w:tcPr>
            <w:tcW w:w="1682" w:type="pct"/>
            <w:gridSpan w:val="5"/>
            <w:tcBorders>
              <w:top w:val="single" w:color="auto" w:sz="4" w:space="0"/>
              <w:left w:val="nil"/>
              <w:bottom w:val="single" w:color="auto" w:sz="4" w:space="0"/>
              <w:right w:val="single" w:color="auto" w:sz="4" w:space="0"/>
            </w:tcBorders>
            <w:shd w:val="clear" w:color="auto" w:fill="auto"/>
            <w:vAlign w:val="top"/>
          </w:tcPr>
          <w:p>
            <w:pPr>
              <w:jc w:val="both"/>
              <w:rPr>
                <w:rFonts w:hint="eastAsia" w:eastAsia="宋体" w:cs="宋体"/>
                <w:color w:val="000000"/>
                <w:sz w:val="18"/>
                <w:szCs w:val="18"/>
                <w:lang w:val="en-US" w:eastAsia="zh-CN"/>
              </w:rPr>
            </w:pPr>
            <w:r>
              <w:rPr>
                <w:rFonts w:hint="eastAsia" w:eastAsia="宋体" w:cs="宋体"/>
                <w:color w:val="000000"/>
                <w:sz w:val="18"/>
                <w:szCs w:val="18"/>
                <w:lang w:val="en-US" w:eastAsia="zh-CN"/>
              </w:rPr>
              <w:t>违法建筑拆除完成率达到91%，对于收到的投诉及时处理，按时开展道路安全、消防安全执法。</w:t>
            </w:r>
          </w:p>
          <w:p>
            <w:pPr>
              <w:jc w:val="both"/>
              <w:rPr>
                <w:rFonts w:hint="eastAsia" w:eastAsia="宋体" w:cs="宋体"/>
                <w:color w:val="000000"/>
                <w:sz w:val="18"/>
                <w:szCs w:val="18"/>
                <w:lang w:val="en-US" w:eastAsia="zh-CN"/>
              </w:rPr>
            </w:pPr>
          </w:p>
          <w:p>
            <w:pPr>
              <w:jc w:val="both"/>
              <w:rPr>
                <w:rFonts w:hint="default" w:eastAsia="宋体" w:cs="宋体"/>
                <w:color w:val="000000"/>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gridAfter w:val="1"/>
          <w:wAfter w:w="14" w:type="pct"/>
          <w:trHeight w:val="1080"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指标名称</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计量单位</w:t>
            </w:r>
          </w:p>
        </w:tc>
        <w:tc>
          <w:tcPr>
            <w:tcW w:w="376"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指标性质</w:t>
            </w:r>
          </w:p>
        </w:tc>
        <w:tc>
          <w:tcPr>
            <w:tcW w:w="49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指标值</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全年完成值</w:t>
            </w:r>
          </w:p>
        </w:tc>
        <w:tc>
          <w:tcPr>
            <w:tcW w:w="452"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偏离度（%）</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得分系数（%）</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指标权重</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指标得分</w:t>
            </w:r>
          </w:p>
        </w:tc>
        <w:tc>
          <w:tcPr>
            <w:tcW w:w="44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是否核心指标</w:t>
            </w:r>
          </w:p>
        </w:tc>
        <w:tc>
          <w:tcPr>
            <w:tcW w:w="44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gridAfter w:val="1"/>
          <w:wAfter w:w="14" w:type="pct"/>
          <w:trHeight w:val="921"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eastAsia="宋体" w:cs="宋体"/>
                <w:color w:val="000000"/>
                <w:sz w:val="18"/>
                <w:szCs w:val="18"/>
                <w:lang w:val="en-US" w:eastAsia="zh-CN"/>
              </w:rPr>
              <w:t>违法建筑拆除完成率</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w:t>
            </w:r>
          </w:p>
        </w:tc>
        <w:tc>
          <w:tcPr>
            <w:tcW w:w="376"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w:t>
            </w:r>
          </w:p>
        </w:tc>
        <w:tc>
          <w:tcPr>
            <w:tcW w:w="495"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85</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91</w:t>
            </w:r>
          </w:p>
        </w:tc>
        <w:tc>
          <w:tcPr>
            <w:tcW w:w="452"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7.06</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20</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20.00</w:t>
            </w:r>
          </w:p>
        </w:tc>
        <w:tc>
          <w:tcPr>
            <w:tcW w:w="444" w:type="pct"/>
            <w:tcBorders>
              <w:top w:val="nil"/>
              <w:left w:val="nil"/>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val="en-US" w:eastAsia="zh-CN"/>
              </w:rPr>
            </w:pPr>
            <w:r>
              <w:rPr>
                <w:rFonts w:hint="eastAsia" w:cs="宋体"/>
                <w:color w:val="000000"/>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eastAsia="宋体" w:cs="宋体"/>
                <w:color w:val="000000"/>
                <w:sz w:val="18"/>
                <w:szCs w:val="18"/>
                <w:lang w:val="en-US" w:eastAsia="zh-CN"/>
              </w:rPr>
              <w:t>投诉及时处理率</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w:t>
            </w:r>
          </w:p>
        </w:tc>
        <w:tc>
          <w:tcPr>
            <w:tcW w:w="376"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w:t>
            </w:r>
          </w:p>
        </w:tc>
        <w:tc>
          <w:tcPr>
            <w:tcW w:w="495"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90</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96</w:t>
            </w:r>
          </w:p>
        </w:tc>
        <w:tc>
          <w:tcPr>
            <w:tcW w:w="452"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6.67</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30</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30.00</w:t>
            </w:r>
          </w:p>
        </w:tc>
        <w:tc>
          <w:tcPr>
            <w:tcW w:w="444" w:type="pct"/>
            <w:tcBorders>
              <w:top w:val="nil"/>
              <w:left w:val="nil"/>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val="en-US" w:eastAsia="zh-CN"/>
              </w:rPr>
            </w:pPr>
            <w:r>
              <w:rPr>
                <w:rFonts w:hint="eastAsia" w:cs="宋体"/>
                <w:color w:val="000000"/>
                <w:sz w:val="18"/>
                <w:szCs w:val="18"/>
                <w:lang w:val="en-US" w:eastAsia="zh-CN"/>
              </w:rPr>
              <w:t>是</w:t>
            </w:r>
          </w:p>
        </w:tc>
        <w:tc>
          <w:tcPr>
            <w:tcW w:w="445" w:type="pct"/>
            <w:tcBorders>
              <w:top w:val="nil"/>
              <w:left w:val="nil"/>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eastAsia="宋体" w:cs="宋体"/>
                <w:color w:val="000000"/>
                <w:sz w:val="18"/>
                <w:szCs w:val="18"/>
                <w:lang w:val="en-US" w:eastAsia="zh-CN"/>
              </w:rPr>
              <w:t>道路安全执法</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次</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96</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100</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4.17</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100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20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20.00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val="en-US" w:eastAsia="zh-CN"/>
              </w:rPr>
            </w:pPr>
            <w:r>
              <w:rPr>
                <w:rFonts w:hint="eastAsia" w:cs="宋体"/>
                <w:color w:val="000000"/>
                <w:sz w:val="18"/>
                <w:szCs w:val="18"/>
                <w:lang w:val="en-US" w:eastAsia="zh-CN"/>
              </w:rPr>
              <w:t>否</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eastAsia="宋体" w:cs="宋体"/>
                <w:color w:val="000000"/>
                <w:sz w:val="18"/>
                <w:szCs w:val="18"/>
                <w:lang w:val="en-US" w:eastAsia="zh-CN"/>
              </w:rPr>
              <w:t>消防安全执法</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次</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12</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12</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0.00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100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20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20.00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val="en-US" w:eastAsia="zh-CN"/>
              </w:rPr>
            </w:pPr>
            <w:r>
              <w:rPr>
                <w:rFonts w:hint="eastAsia" w:cs="宋体"/>
                <w:color w:val="000000"/>
                <w:sz w:val="18"/>
                <w:szCs w:val="18"/>
                <w:lang w:val="en-US" w:eastAsia="zh-CN"/>
              </w:rPr>
              <w:t>否</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val="en-US" w:eastAsia="zh-CN"/>
              </w:rPr>
            </w:pPr>
          </w:p>
        </w:tc>
      </w:tr>
    </w:tbl>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960" w:firstLineChars="3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w:t>
      </w:r>
      <w:bookmarkStart w:id="0" w:name="_GoBack"/>
      <w:bookmarkEnd w:id="0"/>
      <w:r>
        <w:rPr>
          <w:rFonts w:ascii="方正仿宋_GBK" w:hAnsi="方正仿宋_GBK" w:eastAsia="方正仿宋_GBK" w:cs="方正仿宋_GBK"/>
          <w:b w:val="0"/>
          <w:bCs w:val="0"/>
          <w:sz w:val="32"/>
          <w:szCs w:val="32"/>
          <w:shd w:val="clear" w:color="auto" w:fill="FFFFFF"/>
        </w:rPr>
        <w:t>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Fonts w:hint="default" w:cs="宋体"/>
          <w:b w:val="0"/>
          <w:bCs w:val="0"/>
          <w:sz w:val="21"/>
          <w:szCs w:val="21"/>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9B67B8"/>
    <w:rsid w:val="009D2B67"/>
    <w:rsid w:val="00B03CCD"/>
    <w:rsid w:val="00B05EC2"/>
    <w:rsid w:val="00C20C3E"/>
    <w:rsid w:val="00F73F90"/>
    <w:rsid w:val="01474EBF"/>
    <w:rsid w:val="01F3521E"/>
    <w:rsid w:val="03B87EA0"/>
    <w:rsid w:val="03E3214F"/>
    <w:rsid w:val="044C50BA"/>
    <w:rsid w:val="05BC6D49"/>
    <w:rsid w:val="06194FF1"/>
    <w:rsid w:val="06A2550B"/>
    <w:rsid w:val="06F80EE2"/>
    <w:rsid w:val="07001CCA"/>
    <w:rsid w:val="071449E1"/>
    <w:rsid w:val="075678DB"/>
    <w:rsid w:val="079D7CC7"/>
    <w:rsid w:val="08051BCA"/>
    <w:rsid w:val="086C12F4"/>
    <w:rsid w:val="08705944"/>
    <w:rsid w:val="08BA052C"/>
    <w:rsid w:val="08DB07BA"/>
    <w:rsid w:val="0969353F"/>
    <w:rsid w:val="098305D0"/>
    <w:rsid w:val="0A3317EA"/>
    <w:rsid w:val="0A5C4B69"/>
    <w:rsid w:val="0A86124A"/>
    <w:rsid w:val="0AB54CC0"/>
    <w:rsid w:val="0B017043"/>
    <w:rsid w:val="0B9335CE"/>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107C8"/>
    <w:rsid w:val="1158083A"/>
    <w:rsid w:val="1159793B"/>
    <w:rsid w:val="115D1DC5"/>
    <w:rsid w:val="11643A4B"/>
    <w:rsid w:val="11ED0F98"/>
    <w:rsid w:val="11F03528"/>
    <w:rsid w:val="12C921C4"/>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906A4"/>
    <w:rsid w:val="1A6B5E42"/>
    <w:rsid w:val="1B6F15B6"/>
    <w:rsid w:val="1BAA2EDC"/>
    <w:rsid w:val="1CA55E64"/>
    <w:rsid w:val="1CC677C6"/>
    <w:rsid w:val="1D014A01"/>
    <w:rsid w:val="1D022362"/>
    <w:rsid w:val="1D1B04B0"/>
    <w:rsid w:val="1DA52501"/>
    <w:rsid w:val="1DBD6767"/>
    <w:rsid w:val="1DC52125"/>
    <w:rsid w:val="1DD26311"/>
    <w:rsid w:val="1E374ACB"/>
    <w:rsid w:val="1ECF0A66"/>
    <w:rsid w:val="1ED244D1"/>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A75DF"/>
    <w:rsid w:val="2C636760"/>
    <w:rsid w:val="2C6762A3"/>
    <w:rsid w:val="2D1E205E"/>
    <w:rsid w:val="2EAB60CF"/>
    <w:rsid w:val="2FCA4B37"/>
    <w:rsid w:val="2FE029D7"/>
    <w:rsid w:val="2FF06E00"/>
    <w:rsid w:val="30586FEC"/>
    <w:rsid w:val="315F0B22"/>
    <w:rsid w:val="31D652F1"/>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3E6327"/>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A691D"/>
    <w:rsid w:val="41E0734B"/>
    <w:rsid w:val="426C1EA8"/>
    <w:rsid w:val="42736402"/>
    <w:rsid w:val="428575F7"/>
    <w:rsid w:val="42E86A87"/>
    <w:rsid w:val="43307B09"/>
    <w:rsid w:val="439A3EB9"/>
    <w:rsid w:val="43BB152F"/>
    <w:rsid w:val="44C37687"/>
    <w:rsid w:val="45CB699A"/>
    <w:rsid w:val="465B470D"/>
    <w:rsid w:val="469D6AD4"/>
    <w:rsid w:val="471E6C84"/>
    <w:rsid w:val="4748792B"/>
    <w:rsid w:val="475D719D"/>
    <w:rsid w:val="47674801"/>
    <w:rsid w:val="48225EF7"/>
    <w:rsid w:val="488F422B"/>
    <w:rsid w:val="48C46994"/>
    <w:rsid w:val="48E36915"/>
    <w:rsid w:val="48EB6572"/>
    <w:rsid w:val="495C4A24"/>
    <w:rsid w:val="497135DF"/>
    <w:rsid w:val="4A263DF2"/>
    <w:rsid w:val="4A6220FA"/>
    <w:rsid w:val="4A6F6675"/>
    <w:rsid w:val="4B135857"/>
    <w:rsid w:val="4B7951CB"/>
    <w:rsid w:val="4B7C315C"/>
    <w:rsid w:val="4DAC4ACA"/>
    <w:rsid w:val="4DBE01D2"/>
    <w:rsid w:val="4F0C6BA3"/>
    <w:rsid w:val="4F186D58"/>
    <w:rsid w:val="4F9F43C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F1194"/>
    <w:rsid w:val="5BF00F47"/>
    <w:rsid w:val="5C263CE4"/>
    <w:rsid w:val="5C5D2777"/>
    <w:rsid w:val="5CF66BF3"/>
    <w:rsid w:val="5D290C69"/>
    <w:rsid w:val="5F2D4A41"/>
    <w:rsid w:val="5FF9782E"/>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C6169"/>
    <w:rsid w:val="6EFD1324"/>
    <w:rsid w:val="6F5A53AC"/>
    <w:rsid w:val="6FAC003D"/>
    <w:rsid w:val="6FE55E12"/>
    <w:rsid w:val="6FFB2E76"/>
    <w:rsid w:val="708F6F7F"/>
    <w:rsid w:val="70D94BD3"/>
    <w:rsid w:val="71C34D91"/>
    <w:rsid w:val="72DB435C"/>
    <w:rsid w:val="72E2613A"/>
    <w:rsid w:val="72F771F4"/>
    <w:rsid w:val="73934AD2"/>
    <w:rsid w:val="743F5851"/>
    <w:rsid w:val="75053E40"/>
    <w:rsid w:val="750837F0"/>
    <w:rsid w:val="754758CF"/>
    <w:rsid w:val="75BA64AB"/>
    <w:rsid w:val="7646068F"/>
    <w:rsid w:val="764F62AB"/>
    <w:rsid w:val="765C45EC"/>
    <w:rsid w:val="768A7619"/>
    <w:rsid w:val="772E1EBA"/>
    <w:rsid w:val="781926BC"/>
    <w:rsid w:val="796D60A4"/>
    <w:rsid w:val="79A031D5"/>
    <w:rsid w:val="7A1525F7"/>
    <w:rsid w:val="7B420052"/>
    <w:rsid w:val="7BD06A28"/>
    <w:rsid w:val="7BE06A5E"/>
    <w:rsid w:val="7C3A7C0B"/>
    <w:rsid w:val="7C5248E4"/>
    <w:rsid w:val="7C566698"/>
    <w:rsid w:val="7C5866A3"/>
    <w:rsid w:val="7D7406BB"/>
    <w:rsid w:val="7DE94331"/>
    <w:rsid w:val="7F446A19"/>
    <w:rsid w:val="7F7452B9"/>
    <w:rsid w:val="F79E2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8504</Words>
  <Characters>11653</Characters>
  <Lines>193</Lines>
  <Paragraphs>54</Paragraphs>
  <TotalTime>5</TotalTime>
  <ScaleCrop>false</ScaleCrop>
  <LinksUpToDate>false</LinksUpToDate>
  <CharactersWithSpaces>13193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2025-11-06T16:34:26Z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