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51"/>
        </w:tabs>
        <w:kinsoku/>
        <w:wordWrap/>
        <w:overflowPunct/>
        <w:topLinePunct w:val="0"/>
        <w:autoSpaceDE/>
        <w:autoSpaceDN/>
        <w:bidi w:val="0"/>
        <w:spacing w:after="0" w:line="56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重庆市涪陵区人民政府马鞍街道办事处</w:t>
      </w:r>
    </w:p>
    <w:p>
      <w:pPr>
        <w:keepNext w:val="0"/>
        <w:keepLines w:val="0"/>
        <w:pageBreakBefore w:val="0"/>
        <w:tabs>
          <w:tab w:val="left" w:pos="851"/>
        </w:tabs>
        <w:kinsoku/>
        <w:wordWrap/>
        <w:overflowPunct/>
        <w:topLinePunct w:val="0"/>
        <w:autoSpaceDE/>
        <w:autoSpaceDN/>
        <w:bidi w:val="0"/>
        <w:spacing w:after="0" w:line="56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2025年预算执行情况和2026年预算草案的报告</w:t>
      </w: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ascii="Times New Roman" w:hAnsi="Times New Roman"/>
          <w:highlight w:val="yellow"/>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0"/>
        <w:rPr>
          <w:rFonts w:hint="eastAsia" w:ascii="Times New Roman" w:hAnsi="Times New Roman" w:eastAsia="方正黑体_GBK" w:cs="宋体"/>
          <w:kern w:val="0"/>
          <w:sz w:val="32"/>
          <w:szCs w:val="32"/>
        </w:rPr>
      </w:pPr>
      <w:r>
        <w:rPr>
          <w:rFonts w:hint="eastAsia" w:ascii="Times New Roman" w:hAnsi="Times New Roman" w:eastAsia="方正黑体_GBK" w:cs="宋体"/>
          <w:kern w:val="0"/>
          <w:sz w:val="32"/>
          <w:szCs w:val="32"/>
        </w:rPr>
        <w:t>一、2025年预算执行情况</w:t>
      </w:r>
    </w:p>
    <w:p>
      <w:pPr>
        <w:keepNext w:val="0"/>
        <w:keepLines w:val="0"/>
        <w:pageBreakBefore w:val="0"/>
        <w:kinsoku/>
        <w:wordWrap/>
        <w:overflowPunct/>
        <w:topLinePunct w:val="0"/>
        <w:autoSpaceDE/>
        <w:autoSpaceDN/>
        <w:bidi w:val="0"/>
        <w:spacing w:line="560" w:lineRule="exact"/>
        <w:ind w:firstLine="640" w:firstLineChars="200"/>
        <w:textAlignment w:val="auto"/>
      </w:pPr>
      <w:bookmarkStart w:id="0" w:name="OLE_LINK1"/>
      <w:r>
        <w:rPr>
          <w:rFonts w:ascii="Times New Roman" w:hAnsi="Times New Roman" w:eastAsia="方正仿宋_GBK"/>
          <w:sz w:val="32"/>
        </w:rPr>
        <w:t>2025年，街道财政工作坚持以习近平新时代中国特色社会主义思想为指导，在街道党工委、办事处的坚强领导</w:t>
      </w:r>
      <w:r>
        <w:rPr>
          <w:rFonts w:hint="eastAsia" w:ascii="Times New Roman" w:hAnsi="Times New Roman" w:eastAsia="方正仿宋_GBK"/>
          <w:sz w:val="32"/>
        </w:rPr>
        <w:t>下，在街道</w:t>
      </w:r>
      <w:r>
        <w:rPr>
          <w:rFonts w:ascii="Times New Roman" w:hAnsi="Times New Roman" w:eastAsia="方正仿宋_GBK"/>
          <w:sz w:val="32"/>
        </w:rPr>
        <w:t>人大工委的监督指导下，紧紧围绕高质量发展首要任务，积极应对复杂形势与挑战，</w:t>
      </w:r>
      <w:r>
        <w:rPr>
          <w:rFonts w:hint="eastAsia" w:ascii="Times New Roman" w:hAnsi="Times New Roman" w:eastAsia="方正仿宋_GBK"/>
          <w:sz w:val="32"/>
        </w:rPr>
        <w:t>强化预算刚性约束</w:t>
      </w:r>
      <w:r>
        <w:rPr>
          <w:rFonts w:ascii="Times New Roman" w:hAnsi="Times New Roman" w:eastAsia="方正仿宋_GBK"/>
          <w:sz w:val="32"/>
        </w:rPr>
        <w:t>，着力加强财政资源统筹与预算绩效管理</w:t>
      </w:r>
      <w:r>
        <w:rPr>
          <w:rFonts w:hint="eastAsia" w:ascii="Times New Roman" w:hAnsi="Times New Roman" w:eastAsia="方正仿宋_GBK"/>
          <w:sz w:val="32"/>
        </w:rPr>
        <w:t>，</w:t>
      </w:r>
      <w:r>
        <w:rPr>
          <w:rFonts w:ascii="Times New Roman" w:hAnsi="Times New Roman" w:eastAsia="方正仿宋_GBK"/>
          <w:sz w:val="32"/>
        </w:rPr>
        <w:t>优化支出结构，集中财力兜牢“三保”底线，全力保障重点民生实事和关键发展任务，不断提升财政资金使用效益，为街道经济社会平稳健康发展提供财力支撑。</w:t>
      </w:r>
      <w:bookmarkEnd w:id="0"/>
    </w:p>
    <w:p>
      <w:pPr>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（一）一般公共预算执行情况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2025年一般公共预算收入年初预算6800万元。加上税收收入177万元，非税收入337万元，上年结余资金857万元、</w:t>
      </w:r>
      <w:r>
        <w:rPr>
          <w:rFonts w:hint="eastAsia" w:eastAsia="方正仿宋_GBK"/>
          <w:sz w:val="32"/>
          <w:lang w:val="en-US" w:eastAsia="zh-CN"/>
        </w:rPr>
        <w:t>项目追加293万元</w:t>
      </w:r>
      <w:r>
        <w:rPr>
          <w:rFonts w:hint="eastAsia" w:ascii="Times New Roman" w:hAnsi="Times New Roman" w:eastAsia="方正仿宋_GBK"/>
          <w:sz w:val="32"/>
        </w:rPr>
        <w:t>，一般公共预算收入总量为8</w:t>
      </w:r>
      <w:r>
        <w:rPr>
          <w:rFonts w:hint="eastAsia" w:eastAsia="方正仿宋_GBK"/>
          <w:sz w:val="32"/>
          <w:lang w:val="en-US" w:eastAsia="zh-CN"/>
        </w:rPr>
        <w:t>464</w:t>
      </w:r>
      <w:r>
        <w:rPr>
          <w:rFonts w:hint="eastAsia" w:ascii="Times New Roman" w:hAnsi="Times New Roman" w:eastAsia="方正仿宋_GBK"/>
          <w:sz w:val="32"/>
        </w:rPr>
        <w:t>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2025年一般公共预算支出7265万元，较上年减少2.9%，完成年初预算106.8%。具体执行情况为：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一般公共服务支出2355万元；文化旅游体育与传媒支出190万元；社会保障和就业支出761万元；卫生健康支出147万元；城乡社区支出3297万元；农林水支出353万元；住房保障支出162万元。</w:t>
      </w:r>
    </w:p>
    <w:p>
      <w:pPr>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（二）政府性基金预算执行情况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政府性基金预算收入</w:t>
      </w:r>
      <w:r>
        <w:rPr>
          <w:rFonts w:hint="eastAsia" w:eastAsia="方正仿宋_GBK" w:cs="方正仿宋_GBK"/>
          <w:sz w:val="32"/>
          <w:szCs w:val="32"/>
          <w:lang w:val="en-US" w:eastAsia="zh-CN"/>
        </w:rPr>
        <w:t>0</w:t>
      </w:r>
      <w:r>
        <w:rPr>
          <w:rFonts w:hint="eastAsia" w:ascii="Times New Roman" w:hAnsi="Times New Roman" w:eastAsia="方正仿宋_GBK" w:cs="方正仿宋_GBK"/>
          <w:sz w:val="32"/>
          <w:szCs w:val="32"/>
        </w:rPr>
        <w:t>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政府性基金预算支出</w:t>
      </w:r>
      <w:r>
        <w:rPr>
          <w:rFonts w:hint="eastAsia" w:eastAsia="方正仿宋_GBK" w:cs="方正仿宋_GBK"/>
          <w:sz w:val="32"/>
          <w:szCs w:val="32"/>
          <w:lang w:val="en-US" w:eastAsia="zh-CN"/>
        </w:rPr>
        <w:t>70</w:t>
      </w:r>
      <w:r>
        <w:rPr>
          <w:rFonts w:hint="eastAsia" w:ascii="Times New Roman" w:hAnsi="Times New Roman" w:eastAsia="方正仿宋_GBK" w:cs="方正仿宋_GBK"/>
          <w:sz w:val="32"/>
          <w:szCs w:val="32"/>
        </w:rPr>
        <w:t>万元。</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outlineLvl w:val="0"/>
        <w:rPr>
          <w:rFonts w:hint="eastAsia" w:ascii="Times New Roman" w:hAnsi="Times New Roman" w:eastAsia="方正黑体_GBK" w:cs="宋体"/>
          <w:kern w:val="0"/>
          <w:szCs w:val="32"/>
        </w:rPr>
      </w:pPr>
      <w:r>
        <w:rPr>
          <w:rFonts w:hint="eastAsia" w:ascii="Times New Roman" w:hAnsi="Times New Roman" w:eastAsia="方正黑体_GBK" w:cs="宋体"/>
          <w:kern w:val="0"/>
          <w:szCs w:val="32"/>
        </w:rPr>
        <w:t>二、2026年财政预算草案</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面临收入预计承压、刚性支出持续增长的双重挑战，预算平衡难度仍持续加大。2026年，街道财政将紧紧围绕街道总体目标任务，坚持稳中求进工作总基调，严格落实党政机关</w:t>
      </w:r>
      <w:r>
        <w:rPr>
          <w:rFonts w:hint="eastAsia" w:eastAsia="方正仿宋_GBK" w:cs="方正仿宋_GBK"/>
          <w:sz w:val="32"/>
          <w:szCs w:val="32"/>
          <w:lang w:val="en-US" w:eastAsia="zh-CN"/>
        </w:rPr>
        <w:t>习惯</w:t>
      </w:r>
      <w:r>
        <w:rPr>
          <w:rFonts w:hint="eastAsia" w:ascii="Times New Roman" w:hAnsi="Times New Roman" w:eastAsia="方正仿宋_GBK" w:cs="方正仿宋_GBK"/>
          <w:sz w:val="32"/>
          <w:szCs w:val="32"/>
        </w:rPr>
        <w:t>过“紧日子”的要求，突出“三保”支出的优先地位，从严从紧安排一般性支出，切实提高财政资源配置效率和资金使用效益，全力保障街道党工委、办事处的各项重点任务，推动辖区经济社会实现平稳健康可持续发展。</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（一）2026年财政重点工作</w:t>
      </w:r>
    </w:p>
    <w:p>
      <w:pPr>
        <w:keepNext w:val="0"/>
        <w:keepLines w:val="0"/>
        <w:pageBreakBefore w:val="0"/>
        <w:tabs>
          <w:tab w:val="left" w:pos="851"/>
        </w:tabs>
        <w:kinsoku/>
        <w:wordWrap/>
        <w:overflowPunct/>
        <w:topLinePunct w:val="0"/>
        <w:autoSpaceDE/>
        <w:autoSpaceDN/>
        <w:bidi w:val="0"/>
        <w:spacing w:line="560" w:lineRule="exact"/>
        <w:ind w:firstLine="643"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宋体"/>
          <w:b/>
          <w:bCs/>
          <w:kern w:val="0"/>
          <w:sz w:val="32"/>
          <w:szCs w:val="32"/>
        </w:rPr>
        <w:t>1.开源节流并举，全力夯实财源基础。</w:t>
      </w:r>
      <w:r>
        <w:rPr>
          <w:rFonts w:hint="eastAsia" w:ascii="Times New Roman" w:hAnsi="Times New Roman" w:eastAsia="方正仿宋_GBK" w:cs="宋体"/>
          <w:kern w:val="0"/>
          <w:sz w:val="32"/>
          <w:szCs w:val="32"/>
        </w:rPr>
        <w:t>一是税收开源拓财力，将招商引资作为破解财源困境的抓手，积极</w:t>
      </w:r>
      <w:r>
        <w:rPr>
          <w:rFonts w:hint="eastAsia" w:eastAsia="方正仿宋_GBK" w:cs="宋体"/>
          <w:kern w:val="0"/>
          <w:sz w:val="32"/>
          <w:szCs w:val="32"/>
          <w:lang w:val="en-US" w:eastAsia="zh-CN"/>
        </w:rPr>
        <w:t>协调</w:t>
      </w:r>
      <w:r>
        <w:rPr>
          <w:rFonts w:hint="eastAsia" w:ascii="Times New Roman" w:hAnsi="Times New Roman" w:eastAsia="方正仿宋_GBK" w:cs="宋体"/>
          <w:kern w:val="0"/>
          <w:sz w:val="32"/>
          <w:szCs w:val="32"/>
        </w:rPr>
        <w:t>解决街道在招商权限、资源配套等方面的难点，争取赋能突破。主动靠前服务，深挖辖区资源</w:t>
      </w:r>
      <w:r>
        <w:rPr>
          <w:rFonts w:hint="eastAsia" w:eastAsia="方正仿宋_GBK" w:cs="宋体"/>
          <w:kern w:val="0"/>
          <w:sz w:val="32"/>
          <w:szCs w:val="32"/>
          <w:lang w:eastAsia="zh-CN"/>
        </w:rPr>
        <w:t>，</w:t>
      </w:r>
      <w:r>
        <w:rPr>
          <w:rFonts w:hint="eastAsia" w:eastAsia="方正仿宋_GBK" w:cs="宋体"/>
          <w:kern w:val="0"/>
          <w:sz w:val="32"/>
          <w:szCs w:val="32"/>
          <w:lang w:val="en-US" w:eastAsia="zh-CN"/>
        </w:rPr>
        <w:t>加强</w:t>
      </w:r>
      <w:r>
        <w:rPr>
          <w:rFonts w:hint="eastAsia" w:ascii="Times New Roman" w:hAnsi="Times New Roman" w:eastAsia="方正仿宋_GBK" w:cs="宋体"/>
          <w:kern w:val="0"/>
          <w:sz w:val="32"/>
          <w:szCs w:val="32"/>
        </w:rPr>
        <w:t>与在外经商成功人士</w:t>
      </w:r>
      <w:r>
        <w:rPr>
          <w:rFonts w:hint="eastAsia" w:eastAsia="方正仿宋_GBK" w:cs="宋体"/>
          <w:kern w:val="0"/>
          <w:sz w:val="32"/>
          <w:szCs w:val="32"/>
          <w:lang w:eastAsia="zh-CN"/>
        </w:rPr>
        <w:t>的</w:t>
      </w:r>
      <w:r>
        <w:rPr>
          <w:rFonts w:hint="eastAsia" w:eastAsia="方正仿宋_GBK" w:cs="宋体"/>
          <w:kern w:val="0"/>
          <w:sz w:val="32"/>
          <w:szCs w:val="32"/>
          <w:lang w:val="en-US" w:eastAsia="zh-CN"/>
        </w:rPr>
        <w:t>密切联系</w:t>
      </w:r>
      <w:r>
        <w:rPr>
          <w:rFonts w:hint="eastAsia" w:ascii="Times New Roman" w:hAnsi="Times New Roman" w:eastAsia="方正仿宋_GBK" w:cs="宋体"/>
          <w:kern w:val="0"/>
          <w:sz w:val="32"/>
          <w:szCs w:val="32"/>
        </w:rPr>
        <w:t>，积极承接产业转移，协同相关部门做好安商稳商工作，全力培育可持续的新兴税源。</w:t>
      </w:r>
      <w:r>
        <w:rPr>
          <w:rFonts w:hint="eastAsia" w:ascii="Times New Roman" w:hAnsi="Times New Roman" w:eastAsia="方正仿宋_GBK" w:cs="方正仿宋_GBK"/>
          <w:sz w:val="32"/>
          <w:szCs w:val="32"/>
        </w:rPr>
        <w:t>二是支出节源管财力。严格落实零基预算，以紧当先，在预算支出源头把好关口，严控一般性支出，严格新增行政成本和“三公”费用，全力兜牢“三保”底线，切实把有限的财政资金用在刀刃上、用出绩效来。三是争取资金增财力。积极与上级部门联系沟通，勤</w:t>
      </w:r>
      <w:r>
        <w:rPr>
          <w:rFonts w:hint="eastAsia" w:eastAsia="方正仿宋_GBK" w:cs="方正仿宋_GBK"/>
          <w:sz w:val="32"/>
          <w:szCs w:val="32"/>
          <w:lang w:val="en-US" w:eastAsia="zh-CN"/>
        </w:rPr>
        <w:t>请教</w:t>
      </w:r>
      <w:r>
        <w:rPr>
          <w:rFonts w:hint="eastAsia" w:ascii="Times New Roman" w:hAnsi="Times New Roman" w:eastAsia="方正仿宋_GBK" w:cs="方正仿宋_GBK"/>
          <w:sz w:val="32"/>
          <w:szCs w:val="32"/>
        </w:rPr>
        <w:t>、勤汇报，提前谋划包装项目，全力争取上级补助资金，努力增加街道可用财力。</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宋体"/>
          <w:b/>
          <w:bCs/>
          <w:kern w:val="0"/>
          <w:sz w:val="32"/>
          <w:szCs w:val="32"/>
        </w:rPr>
        <w:t>2.深化绩效改革，提升资金使用效能。</w:t>
      </w:r>
      <w:r>
        <w:rPr>
          <w:rFonts w:hint="eastAsia" w:ascii="Times New Roman" w:hAnsi="Times New Roman" w:eastAsia="方正仿宋_GBK" w:cs="方正仿宋_GBK"/>
          <w:sz w:val="32"/>
          <w:szCs w:val="32"/>
        </w:rPr>
        <w:t>在“紧平衡”状态下，更加注重财政资源的精准配置和高效使用。一是深化全过程预算绩效管理，强化成本效益分析，推动绩效评价结果与预算安排、政策调整实质性挂钩。二是科学安排预算执行，关注预算执行进度，减少资金沉淀。三是全面清理盘活各类结余结转和存量资金资产，统筹用于紧要支出，缓解预算收支紧平衡趋势。</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Times New Roman" w:hAnsi="Times New Roman" w:eastAsia="方正黑体_GBK" w:cs="宋体"/>
          <w:kern w:val="0"/>
          <w:szCs w:val="32"/>
        </w:rPr>
      </w:pPr>
      <w:r>
        <w:rPr>
          <w:rFonts w:hint="eastAsia" w:ascii="Times New Roman" w:hAnsi="Times New Roman" w:eastAsia="方正仿宋_GBK" w:cs="宋体"/>
          <w:b/>
          <w:bCs/>
          <w:kern w:val="0"/>
          <w:sz w:val="32"/>
          <w:szCs w:val="32"/>
        </w:rPr>
        <w:t>3.筑牢风险防线，保障财政稳健运行。</w:t>
      </w:r>
      <w:r>
        <w:rPr>
          <w:rFonts w:hint="eastAsia" w:ascii="Times New Roman" w:hAnsi="Times New Roman" w:eastAsia="方正仿宋_GBK" w:cs="方正仿宋_GBK"/>
          <w:sz w:val="32"/>
          <w:szCs w:val="32"/>
        </w:rPr>
        <w:t>树牢风险意识和底线思维，严守财经纪律。立足财政监督职责，坚持财务制度流程，树牢底线思维，当好风险防范“把关人”。一是健全内控制度，结合政策要求与街道实际，进一步规范资金审批支付流程，确保资金安全规范。二是强化监督协同，将财会监督与审计监督等各类监督贯通协调，积极发现问题，织密监督网络，从严从实抓好问题整改。三是提升财务管理。依托预算管理一体化系统，强化资金支付、账务核算全程监管，牢固树立“花钱必问效”理念，将项目绩效评价结果与预算安排挂钩，当好“管账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w:t>
      </w:r>
      <w:r>
        <w:rPr>
          <w:rFonts w:hint="eastAsia" w:eastAsia="方正楷体_GBK" w:cs="方正楷体_GBK"/>
          <w:sz w:val="32"/>
          <w:szCs w:val="32"/>
          <w:lang w:val="en-US" w:eastAsia="zh-CN"/>
        </w:rPr>
        <w:t>二</w:t>
      </w:r>
      <w:bookmarkStart w:id="1" w:name="_GoBack"/>
      <w:bookmarkEnd w:id="1"/>
      <w:r>
        <w:rPr>
          <w:rFonts w:hint="eastAsia" w:ascii="Times New Roman" w:hAnsi="Times New Roman" w:eastAsia="方正楷体_GBK" w:cs="方正楷体_GBK"/>
          <w:sz w:val="32"/>
          <w:szCs w:val="32"/>
        </w:rPr>
        <w:t>）2026年财政收支预算草案</w:t>
      </w:r>
    </w:p>
    <w:p>
      <w:pPr>
        <w:keepNext w:val="0"/>
        <w:keepLines w:val="0"/>
        <w:pageBreakBefore w:val="0"/>
        <w:widowControl/>
        <w:kinsoku/>
        <w:wordWrap/>
        <w:overflowPunct/>
        <w:topLinePunct w:val="0"/>
        <w:autoSpaceDE/>
        <w:autoSpaceDN/>
        <w:bidi w:val="0"/>
        <w:spacing w:line="560" w:lineRule="exact"/>
        <w:ind w:left="638" w:leftChars="304"/>
        <w:jc w:val="left"/>
        <w:textAlignment w:val="auto"/>
        <w:outlineLvl w:val="2"/>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1.一般公共预算情况</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2026年街道一般预算收入预计6800万元。</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2026年一般公共预算计划支出6800万元，具体安排为：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一般公共服务支出2102万元，</w:t>
      </w:r>
      <w:r>
        <w:rPr>
          <w:rFonts w:hint="eastAsia" w:eastAsia="方正仿宋_GBK" w:cs="方正仿宋_GBK"/>
          <w:sz w:val="32"/>
          <w:szCs w:val="32"/>
          <w:highlight w:val="none"/>
          <w:lang w:val="en-US" w:eastAsia="zh-CN"/>
        </w:rPr>
        <w:t>较上年年初预算</w:t>
      </w:r>
      <w:r>
        <w:rPr>
          <w:rFonts w:hint="eastAsia" w:ascii="Times New Roman" w:hAnsi="Times New Roman" w:eastAsia="方正仿宋_GBK" w:cs="方正仿宋_GBK"/>
          <w:sz w:val="32"/>
          <w:szCs w:val="32"/>
          <w:highlight w:val="none"/>
        </w:rPr>
        <w:t>增加</w:t>
      </w:r>
      <w:r>
        <w:rPr>
          <w:rFonts w:hint="eastAsia" w:eastAsia="方正仿宋_GBK" w:cs="方正仿宋_GBK"/>
          <w:sz w:val="32"/>
          <w:szCs w:val="32"/>
          <w:highlight w:val="none"/>
          <w:lang w:val="en-US" w:eastAsia="zh-CN"/>
        </w:rPr>
        <w:t>6</w:t>
      </w:r>
      <w:r>
        <w:rPr>
          <w:rFonts w:hint="eastAsia" w:ascii="Times New Roman" w:hAnsi="Times New Roman" w:eastAsia="方正仿宋_GBK" w:cs="方正仿宋_GBK"/>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文化旅游体育与传媒支出226万元，</w:t>
      </w:r>
      <w:r>
        <w:rPr>
          <w:rFonts w:hint="eastAsia" w:eastAsia="方正仿宋_GBK" w:cs="方正仿宋_GBK"/>
          <w:sz w:val="32"/>
          <w:szCs w:val="32"/>
          <w:highlight w:val="none"/>
          <w:lang w:val="en-US" w:eastAsia="zh-CN"/>
        </w:rPr>
        <w:t>较上年年初预算</w:t>
      </w:r>
      <w:r>
        <w:rPr>
          <w:rFonts w:hint="eastAsia" w:ascii="Times New Roman" w:hAnsi="Times New Roman" w:eastAsia="方正仿宋_GBK" w:cs="方正仿宋_GBK"/>
          <w:sz w:val="32"/>
          <w:szCs w:val="32"/>
          <w:highlight w:val="none"/>
        </w:rPr>
        <w:t>增加4</w:t>
      </w:r>
      <w:r>
        <w:rPr>
          <w:rFonts w:hint="eastAsia" w:eastAsia="方正仿宋_GBK" w:cs="方正仿宋_GBK"/>
          <w:sz w:val="32"/>
          <w:szCs w:val="32"/>
          <w:highlight w:val="none"/>
          <w:lang w:val="en-US" w:eastAsia="zh-CN"/>
        </w:rPr>
        <w:t>3</w:t>
      </w:r>
      <w:r>
        <w:rPr>
          <w:rFonts w:hint="eastAsia" w:ascii="Times New Roman" w:hAnsi="Times New Roman" w:eastAsia="方正仿宋_GBK" w:cs="方正仿宋_GBK"/>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社会保障和就业支出751万元，</w:t>
      </w:r>
      <w:r>
        <w:rPr>
          <w:rFonts w:hint="eastAsia" w:eastAsia="方正仿宋_GBK" w:cs="方正仿宋_GBK"/>
          <w:sz w:val="32"/>
          <w:szCs w:val="32"/>
          <w:highlight w:val="none"/>
          <w:lang w:val="en-US" w:eastAsia="zh-CN"/>
        </w:rPr>
        <w:t>较上年年初预算</w:t>
      </w:r>
      <w:r>
        <w:rPr>
          <w:rFonts w:hint="eastAsia" w:ascii="Times New Roman" w:hAnsi="Times New Roman" w:eastAsia="方正仿宋_GBK" w:cs="方正仿宋_GBK"/>
          <w:sz w:val="32"/>
          <w:szCs w:val="32"/>
          <w:highlight w:val="none"/>
        </w:rPr>
        <w:t>增</w:t>
      </w:r>
      <w:r>
        <w:rPr>
          <w:rFonts w:hint="eastAsia" w:eastAsia="方正仿宋_GBK" w:cs="方正仿宋_GBK"/>
          <w:sz w:val="32"/>
          <w:szCs w:val="32"/>
          <w:highlight w:val="none"/>
          <w:lang w:val="en-US" w:eastAsia="zh-CN"/>
        </w:rPr>
        <w:t>加</w:t>
      </w:r>
      <w:r>
        <w:rPr>
          <w:rFonts w:hint="eastAsia" w:ascii="Times New Roman" w:hAnsi="Times New Roman" w:eastAsia="方正仿宋_GBK" w:cs="方正仿宋_GBK"/>
          <w:sz w:val="32"/>
          <w:szCs w:val="32"/>
          <w:highlight w:val="none"/>
        </w:rPr>
        <w:t>7.9%；</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卫生健康支出154万元，</w:t>
      </w:r>
      <w:r>
        <w:rPr>
          <w:rFonts w:hint="eastAsia" w:eastAsia="方正仿宋_GBK" w:cs="方正仿宋_GBK"/>
          <w:sz w:val="32"/>
          <w:szCs w:val="32"/>
          <w:highlight w:val="none"/>
          <w:lang w:val="en-US" w:eastAsia="zh-CN"/>
        </w:rPr>
        <w:t>较上年年初预算</w:t>
      </w:r>
      <w:r>
        <w:rPr>
          <w:rFonts w:hint="eastAsia" w:ascii="Times New Roman" w:hAnsi="Times New Roman" w:eastAsia="方正仿宋_GBK" w:cs="方正仿宋_GBK"/>
          <w:sz w:val="32"/>
          <w:szCs w:val="32"/>
          <w:highlight w:val="none"/>
        </w:rPr>
        <w:t>增加8.5%；</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城乡社区支出3034万元，</w:t>
      </w:r>
      <w:r>
        <w:rPr>
          <w:rFonts w:hint="eastAsia" w:eastAsia="方正仿宋_GBK" w:cs="方正仿宋_GBK"/>
          <w:sz w:val="32"/>
          <w:szCs w:val="32"/>
          <w:highlight w:val="none"/>
          <w:lang w:val="en-US" w:eastAsia="zh-CN"/>
        </w:rPr>
        <w:t>较上年年初预算</w:t>
      </w:r>
      <w:r>
        <w:rPr>
          <w:rFonts w:hint="eastAsia" w:ascii="Times New Roman" w:hAnsi="Times New Roman" w:eastAsia="方正仿宋_GBK" w:cs="方正仿宋_GBK"/>
          <w:sz w:val="32"/>
          <w:szCs w:val="32"/>
          <w:highlight w:val="none"/>
        </w:rPr>
        <w:t>减少9.6%；</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农林水支出369万元，</w:t>
      </w:r>
      <w:r>
        <w:rPr>
          <w:rFonts w:hint="eastAsia" w:eastAsia="方正仿宋_GBK" w:cs="方正仿宋_GBK"/>
          <w:sz w:val="32"/>
          <w:szCs w:val="32"/>
          <w:highlight w:val="none"/>
          <w:lang w:val="en-US" w:eastAsia="zh-CN"/>
        </w:rPr>
        <w:t>较上年年初预算</w:t>
      </w:r>
      <w:r>
        <w:rPr>
          <w:rFonts w:hint="eastAsia" w:ascii="Times New Roman" w:hAnsi="Times New Roman" w:eastAsia="方正仿宋_GBK" w:cs="方正仿宋_GBK"/>
          <w:sz w:val="32"/>
          <w:szCs w:val="32"/>
          <w:highlight w:val="none"/>
        </w:rPr>
        <w:t>增加17.9%；</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住房保障支出164万元，</w:t>
      </w:r>
      <w:r>
        <w:rPr>
          <w:rFonts w:hint="eastAsia" w:eastAsia="方正仿宋_GBK" w:cs="方正仿宋_GBK"/>
          <w:sz w:val="32"/>
          <w:szCs w:val="32"/>
          <w:highlight w:val="none"/>
          <w:lang w:val="en-US" w:eastAsia="zh-CN"/>
        </w:rPr>
        <w:t>较上年年初预算</w:t>
      </w:r>
      <w:r>
        <w:rPr>
          <w:rFonts w:hint="eastAsia" w:ascii="Times New Roman" w:hAnsi="Times New Roman" w:eastAsia="方正仿宋_GBK" w:cs="方正仿宋_GBK"/>
          <w:sz w:val="32"/>
          <w:szCs w:val="32"/>
          <w:highlight w:val="none"/>
        </w:rPr>
        <w:t>增加7.2%。</w:t>
      </w:r>
    </w:p>
    <w:p>
      <w:pPr>
        <w:keepNext w:val="0"/>
        <w:keepLines w:val="0"/>
        <w:pageBreakBefore w:val="0"/>
        <w:widowControl/>
        <w:kinsoku/>
        <w:wordWrap/>
        <w:overflowPunct/>
        <w:topLinePunct w:val="0"/>
        <w:autoSpaceDE/>
        <w:autoSpaceDN/>
        <w:bidi w:val="0"/>
        <w:spacing w:line="560" w:lineRule="exact"/>
        <w:ind w:left="638" w:leftChars="304"/>
        <w:jc w:val="left"/>
        <w:textAlignment w:val="auto"/>
        <w:outlineLvl w:val="2"/>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2.政府性基金预算情况</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cs="方正仿宋_GBK"/>
          <w:sz w:val="32"/>
          <w:szCs w:val="32"/>
          <w:lang w:val="en-US" w:eastAsia="zh-CN"/>
        </w:rPr>
      </w:pPr>
      <w:r>
        <w:rPr>
          <w:rFonts w:hint="eastAsia" w:cs="方正仿宋_GBK"/>
          <w:sz w:val="32"/>
          <w:szCs w:val="32"/>
          <w:lang w:val="en-US" w:eastAsia="zh-CN"/>
        </w:rPr>
        <w:t>无</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cs="方正仿宋_GBK"/>
          <w:sz w:val="32"/>
          <w:szCs w:val="32"/>
          <w:lang w:val="en-US" w:eastAsia="zh-CN"/>
        </w:rPr>
      </w:pP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center"/>
        <w:textAlignment w:val="auto"/>
        <w:rPr>
          <w:rFonts w:hint="eastAsia" w:ascii="方正仿宋_GBK" w:hAnsi="Verdana" w:eastAsia="方正仿宋_GBK" w:cs="宋体"/>
          <w:kern w:val="0"/>
          <w:sz w:val="32"/>
          <w:szCs w:val="32"/>
        </w:rPr>
      </w:pPr>
      <w:r>
        <w:rPr>
          <w:rFonts w:hint="eastAsia" w:ascii="方正仿宋_GBK" w:hAnsi="Verdana" w:eastAsia="方正仿宋_GBK" w:cs="宋体"/>
          <w:kern w:val="0"/>
          <w:sz w:val="32"/>
          <w:szCs w:val="32"/>
        </w:rPr>
        <w:t>名 词 解 释</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方正仿宋_GBK" w:hAnsi="Verdana" w:eastAsia="方正仿宋_GBK" w:cs="宋体"/>
          <w:kern w:val="0"/>
          <w:sz w:val="32"/>
          <w:szCs w:val="32"/>
        </w:rPr>
      </w:pP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方正仿宋_GBK" w:hAnsi="Verdana" w:eastAsia="方正仿宋_GBK" w:cs="宋体"/>
          <w:kern w:val="0"/>
          <w:sz w:val="32"/>
          <w:szCs w:val="32"/>
        </w:rPr>
      </w:pPr>
      <w:r>
        <w:rPr>
          <w:rFonts w:hint="eastAsia" w:ascii="方正仿宋_GBK" w:hAnsi="Verdana" w:eastAsia="方正仿宋_GBK" w:cs="宋体"/>
          <w:kern w:val="0"/>
          <w:sz w:val="32"/>
          <w:szCs w:val="32"/>
        </w:rPr>
        <w:t>一、“三保”支出：指保工资、保运转和保基本民生。</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方正仿宋_GBK" w:hAnsi="Verdana" w:eastAsia="方正仿宋_GBK" w:cs="宋体"/>
          <w:kern w:val="0"/>
          <w:sz w:val="32"/>
          <w:szCs w:val="32"/>
        </w:rPr>
      </w:pPr>
      <w:r>
        <w:rPr>
          <w:rFonts w:hint="eastAsia" w:ascii="方正仿宋_GBK" w:hAnsi="Verdana" w:eastAsia="方正仿宋_GBK" w:cs="宋体"/>
          <w:kern w:val="0"/>
          <w:sz w:val="32"/>
          <w:szCs w:val="32"/>
        </w:rPr>
        <w:t>二、一般公共预算：指政府凭借国家政治权力，以社会管理者身份筹集以税收为主体的财政收入，用于保障和改善民生、维持国家行政职能正常运转、保障国家安全等方面的收支预算。</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方正仿宋_GBK" w:hAnsi="Verdana" w:eastAsia="方正仿宋_GBK" w:cs="宋体"/>
          <w:kern w:val="0"/>
          <w:sz w:val="32"/>
          <w:szCs w:val="32"/>
        </w:rPr>
      </w:pPr>
      <w:r>
        <w:rPr>
          <w:rFonts w:hint="eastAsia" w:ascii="方正仿宋_GBK" w:hAnsi="Verdana" w:eastAsia="方正仿宋_GBK" w:cs="宋体"/>
          <w:kern w:val="0"/>
          <w:sz w:val="32"/>
          <w:szCs w:val="32"/>
        </w:rPr>
        <w:t>三、政府性基金预算：指国家通过向社会征收以及出让土地、发行彩票等方式取得收入，并专项用于支持特定基础设施建设和社会事业发展的财政收支预算，是政府预算体系的重要组成部分。 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方正仿宋_GBK" w:hAnsi="Verdana" w:eastAsia="方正仿宋_GBK" w:cs="宋体"/>
          <w:kern w:val="0"/>
          <w:sz w:val="32"/>
          <w:szCs w:val="32"/>
        </w:rPr>
      </w:pPr>
      <w:r>
        <w:rPr>
          <w:rFonts w:hint="eastAsia" w:ascii="方正仿宋_GBK" w:hAnsi="Verdana" w:eastAsia="方正仿宋_GBK" w:cs="宋体"/>
          <w:kern w:val="0"/>
          <w:sz w:val="32"/>
          <w:szCs w:val="32"/>
        </w:rPr>
        <w:t>四、预算一体化系统：由财政部制定全国统一的规范要求和系统技术标准，各省级财政部门建设的集预算编制、预算执行、决算和财务报告、资产管理、债务管理、预算绩效等业务环节为一体的信息化系统，将市县级预算数据集中到省级财政，并与财政部联网对接，通过嵌入系统的控制规则规范预算管理和硬化预算约束，为深化预算管理改革提供基础保障。</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方正仿宋_GBK" w:hAnsi="Verdana" w:eastAsia="方正仿宋_GBK" w:cs="宋体"/>
          <w:kern w:val="0"/>
          <w:sz w:val="32"/>
          <w:szCs w:val="32"/>
        </w:rPr>
      </w:pPr>
      <w:r>
        <w:rPr>
          <w:rFonts w:hint="eastAsia" w:ascii="方正仿宋_GBK" w:hAnsi="Verdana" w:eastAsia="方正仿宋_GBK" w:cs="宋体"/>
          <w:kern w:val="0"/>
          <w:sz w:val="32"/>
          <w:szCs w:val="32"/>
        </w:rPr>
        <w:t>五、绩效评价：指财政部门和预算部门（单位）根据设定的绩效目标，运用科学、合理的绩效评价指标、评价标准和评价方法，对财政支出的经济性、效率性和效益性进行客观、公正的评价。财政支出绩效评价是市场经济条件下现代财政科学管理的重要手段，建立和健全财政支出的追踪问效和问责制度，对提高财政资金的规范高效运作程度、增加财政资金的使用效果和效益、促进政府财力的可持续发展以及有效转变政府职能等都具有重大意义。</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cs="方正仿宋_GBK"/>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836AE"/>
    <w:rsid w:val="0004459E"/>
    <w:rsid w:val="001E3163"/>
    <w:rsid w:val="001F613F"/>
    <w:rsid w:val="00375E86"/>
    <w:rsid w:val="004665F6"/>
    <w:rsid w:val="00497FD6"/>
    <w:rsid w:val="005827AA"/>
    <w:rsid w:val="00607211"/>
    <w:rsid w:val="00863BD5"/>
    <w:rsid w:val="00877BF9"/>
    <w:rsid w:val="008E5332"/>
    <w:rsid w:val="00B56159"/>
    <w:rsid w:val="00D94271"/>
    <w:rsid w:val="0EAC55D4"/>
    <w:rsid w:val="1A5F3EFE"/>
    <w:rsid w:val="1E984BCD"/>
    <w:rsid w:val="29A83639"/>
    <w:rsid w:val="3B9D4077"/>
    <w:rsid w:val="3FB75EF2"/>
    <w:rsid w:val="42FA4E28"/>
    <w:rsid w:val="46CF437C"/>
    <w:rsid w:val="492836AE"/>
    <w:rsid w:val="4AC87C9A"/>
    <w:rsid w:val="50EF7401"/>
    <w:rsid w:val="5C1B4FEE"/>
    <w:rsid w:val="672163F1"/>
    <w:rsid w:val="76184BE1"/>
    <w:rsid w:val="7AEA73C3"/>
    <w:rsid w:val="7E9A7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370</Words>
  <Characters>2111</Characters>
  <Lines>17</Lines>
  <Paragraphs>4</Paragraphs>
  <TotalTime>1</TotalTime>
  <ScaleCrop>false</ScaleCrop>
  <LinksUpToDate>false</LinksUpToDate>
  <CharactersWithSpaces>2477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2026-01-26T01:39:00Z</dcterms:created>
  <dc:creator>清正</dc:creator>
  <cp:lastModifiedBy>Administrator</cp:lastModifiedBy>
  <dcterms:modified xsi:type="dcterms:W3CDTF">2026-03-04T07:43:19Z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