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atLeast"/>
        <w:jc w:val="left"/>
        <w:rPr>
          <w:rFonts w:ascii="方正黑体_GBK" w:eastAsia="方正黑体_GBK"/>
          <w:sz w:val="32"/>
          <w:szCs w:val="32"/>
        </w:rPr>
      </w:pPr>
      <w:bookmarkStart w:id="0" w:name="_GoBack"/>
      <w:bookmarkEnd w:id="0"/>
      <w:r>
        <w:rPr>
          <w:rFonts w:hint="eastAsia" w:ascii="方正黑体_GBK" w:eastAsia="方正黑体_GBK"/>
          <w:sz w:val="32"/>
          <w:szCs w:val="32"/>
        </w:rPr>
        <w:t>附件1</w:t>
      </w:r>
    </w:p>
    <w:p>
      <w:pPr>
        <w:spacing w:line="540" w:lineRule="exact"/>
        <w:jc w:val="center"/>
        <w:rPr>
          <w:rFonts w:ascii="方正小标宋_GBK" w:eastAsia="方正小标宋_GBK"/>
          <w:sz w:val="44"/>
          <w:szCs w:val="44"/>
        </w:rPr>
      </w:pPr>
      <w:r>
        <w:rPr>
          <w:rFonts w:hint="eastAsia" w:ascii="方正小标宋_GBK" w:eastAsia="方正小标宋_GBK"/>
          <w:b/>
          <w:sz w:val="44"/>
          <w:szCs w:val="44"/>
        </w:rPr>
        <w:t>石沱镇集体资金使用范围标准管理意见</w:t>
      </w:r>
    </w:p>
    <w:p>
      <w:pPr>
        <w:spacing w:line="540" w:lineRule="exact"/>
        <w:jc w:val="center"/>
        <w:rPr>
          <w:rFonts w:ascii="方正仿宋_GBK" w:eastAsia="方正仿宋_GBK"/>
          <w:sz w:val="32"/>
          <w:szCs w:val="32"/>
        </w:rPr>
      </w:pPr>
    </w:p>
    <w:p>
      <w:pPr>
        <w:spacing w:line="560" w:lineRule="atLeast"/>
        <w:ind w:firstLine="640" w:firstLineChars="200"/>
        <w:rPr>
          <w:rFonts w:ascii="方正仿宋_GBK" w:eastAsia="方正仿宋_GBK"/>
          <w:sz w:val="32"/>
          <w:szCs w:val="32"/>
        </w:rPr>
      </w:pPr>
      <w:r>
        <w:rPr>
          <w:rFonts w:hint="eastAsia" w:ascii="方正仿宋_GBK" w:eastAsia="方正仿宋_GBK"/>
          <w:sz w:val="32"/>
          <w:szCs w:val="32"/>
        </w:rPr>
        <w:t>根据上级有关规定，结合我镇实际，制定本管理意见。各村（居）根据本意见规定，结合本集体经济状况制定集体资金使用标准范围实施方案，按程序报集体经济组织成员或村（居）民代表会议讨论通过后执行。讨论决定的实施方案报镇财政办备案。</w:t>
      </w:r>
    </w:p>
    <w:p>
      <w:pPr>
        <w:ind w:firstLine="640"/>
        <w:rPr>
          <w:rFonts w:hint="eastAsia" w:ascii="方正黑体_GBK" w:hAnsi="方正仿宋_GBK" w:eastAsia="方正黑体_GBK" w:cs="方正仿宋_GBK"/>
          <w:bCs/>
          <w:sz w:val="32"/>
          <w:szCs w:val="32"/>
        </w:rPr>
      </w:pPr>
      <w:r>
        <w:rPr>
          <w:rFonts w:hint="eastAsia" w:ascii="方正黑体_GBK" w:hAnsi="方正仿宋_GBK" w:eastAsia="方正黑体_GBK" w:cs="方正仿宋_GBK"/>
          <w:bCs/>
          <w:sz w:val="32"/>
          <w:szCs w:val="32"/>
        </w:rPr>
        <w:t>一、乡村产业振兴</w:t>
      </w:r>
    </w:p>
    <w:p>
      <w:pPr>
        <w:ind w:firstLine="640"/>
        <w:rPr>
          <w:rFonts w:ascii="方正仿宋_GBK" w:hAnsi="方正仿宋_GBK" w:eastAsia="方正仿宋_GBK" w:cs="方正仿宋_GBK"/>
          <w:sz w:val="32"/>
          <w:szCs w:val="32"/>
        </w:rPr>
      </w:pPr>
      <w:r>
        <w:rPr>
          <w:rFonts w:hint="eastAsia" w:ascii="方正楷体_GBK" w:hAnsi="方正仿宋_GBK" w:eastAsia="方正楷体_GBK" w:cs="方正仿宋_GBK"/>
          <w:b/>
          <w:bCs/>
          <w:sz w:val="32"/>
          <w:szCs w:val="32"/>
        </w:rPr>
        <w:t>（一）产业发展扶持支出</w:t>
      </w:r>
      <w:r>
        <w:rPr>
          <w:rFonts w:hint="eastAsia" w:ascii="方正楷体_GBK" w:hAnsi="方正仿宋_GBK" w:eastAsia="方正楷体_GBK" w:cs="方正仿宋_GBK"/>
          <w:sz w:val="32"/>
          <w:szCs w:val="32"/>
        </w:rPr>
        <w:t>。</w:t>
      </w:r>
      <w:r>
        <w:rPr>
          <w:rFonts w:hint="eastAsia" w:ascii="方正仿宋_GBK" w:hAnsi="方正仿宋_GBK" w:eastAsia="方正仿宋_GBK" w:cs="方正仿宋_GBK"/>
          <w:sz w:val="32"/>
          <w:szCs w:val="32"/>
        </w:rPr>
        <w:t>集体资金可用于扶持村（居）产业发展，促进本村产业规模化、优质化、品牌化。扶持标准以农服中心的实施细则为准。</w:t>
      </w:r>
    </w:p>
    <w:p>
      <w:pPr>
        <w:ind w:firstLine="640"/>
        <w:rPr>
          <w:rFonts w:ascii="方正仿宋_GBK" w:hAnsi="方正仿宋_GBK" w:eastAsia="方正仿宋_GBK" w:cs="方正仿宋_GBK"/>
          <w:sz w:val="32"/>
          <w:szCs w:val="32"/>
        </w:rPr>
      </w:pPr>
      <w:r>
        <w:rPr>
          <w:rFonts w:hint="eastAsia" w:ascii="方正楷体_GBK" w:hAnsi="方正仿宋_GBK" w:eastAsia="方正楷体_GBK" w:cs="方正仿宋_GBK"/>
          <w:b/>
          <w:bCs/>
          <w:sz w:val="32"/>
          <w:szCs w:val="32"/>
        </w:rPr>
        <w:t>（二）发展环境支出。</w:t>
      </w:r>
      <w:r>
        <w:rPr>
          <w:rFonts w:hint="eastAsia" w:ascii="方正仿宋_GBK" w:hAnsi="方正仿宋_GBK" w:eastAsia="方正仿宋_GBK" w:cs="方正仿宋_GBK"/>
          <w:sz w:val="32"/>
          <w:szCs w:val="32"/>
        </w:rPr>
        <w:t>集体资金可用于开展排危抢险、安全维稳、矛盾纠纷化解等必要应急支出，提高村（居）应急抢险能力、保持村（居）平安稳定、减少村（居）信访矛盾。</w:t>
      </w:r>
    </w:p>
    <w:p>
      <w:pPr>
        <w:ind w:firstLine="640"/>
        <w:rPr>
          <w:rFonts w:hint="eastAsia" w:ascii="方正黑体_GBK" w:hAnsi="方正仿宋_GBK" w:eastAsia="方正黑体_GBK" w:cs="方正仿宋_GBK"/>
          <w:bCs/>
          <w:sz w:val="32"/>
          <w:szCs w:val="32"/>
        </w:rPr>
      </w:pPr>
      <w:r>
        <w:rPr>
          <w:rFonts w:hint="eastAsia" w:ascii="方正黑体_GBK" w:hAnsi="方正仿宋_GBK" w:eastAsia="方正黑体_GBK" w:cs="方正仿宋_GBK"/>
          <w:bCs/>
          <w:sz w:val="32"/>
          <w:szCs w:val="32"/>
        </w:rPr>
        <w:t>二、乡村人才振兴</w:t>
      </w:r>
    </w:p>
    <w:p>
      <w:pPr>
        <w:ind w:firstLine="640"/>
        <w:rPr>
          <w:rFonts w:ascii="方正仿宋_GBK" w:hAnsi="方正仿宋_GBK" w:eastAsia="方正仿宋_GBK" w:cs="方正仿宋_GBK"/>
          <w:sz w:val="32"/>
          <w:szCs w:val="32"/>
        </w:rPr>
      </w:pPr>
      <w:r>
        <w:rPr>
          <w:rFonts w:hint="eastAsia" w:ascii="方正楷体_GBK" w:hAnsi="方正仿宋_GBK" w:eastAsia="方正楷体_GBK" w:cs="方正仿宋_GBK"/>
          <w:b/>
          <w:bCs/>
          <w:sz w:val="32"/>
          <w:szCs w:val="32"/>
        </w:rPr>
        <w:t>（一）劳动报酬支出。</w:t>
      </w:r>
      <w:r>
        <w:rPr>
          <w:rFonts w:hint="eastAsia" w:ascii="方正仿宋_GBK" w:hAnsi="方正仿宋_GBK" w:eastAsia="方正仿宋_GBK" w:cs="方正仿宋_GBK"/>
          <w:sz w:val="32"/>
          <w:szCs w:val="32"/>
        </w:rPr>
        <w:t>集体经济组织实施的工程项目需要临时使用劳务人员的，按资金使用审批权限规定研究后执行。非技术性一般劳务人员的劳务费支出标准不得超过120元/天。需聘用技术性劳务人员的，按照“一事一议”的办法研究确定人员数量及劳务费标准，劳务费标准按照不高于当地市场行情执行。临时雇请劳务人员原则上优先使用本集体经济组织的劳动力。</w:t>
      </w:r>
    </w:p>
    <w:p>
      <w:pPr>
        <w:pStyle w:val="4"/>
        <w:shd w:val="clear" w:color="auto" w:fill="FFFFFF"/>
        <w:spacing w:line="560" w:lineRule="exact"/>
        <w:ind w:firstLine="643" w:firstLineChars="200"/>
        <w:rPr>
          <w:rFonts w:ascii="方正仿宋_GBK" w:hAnsi="方正仿宋_GBK" w:eastAsia="方正仿宋_GBK" w:cs="方正仿宋_GBK"/>
          <w:kern w:val="2"/>
          <w:sz w:val="32"/>
          <w:szCs w:val="32"/>
        </w:rPr>
      </w:pPr>
      <w:r>
        <w:rPr>
          <w:rFonts w:hint="eastAsia" w:ascii="方正楷体_GBK" w:hAnsi="方正仿宋_GBK" w:eastAsia="方正楷体_GBK" w:cs="方正仿宋_GBK"/>
          <w:b/>
          <w:bCs/>
          <w:kern w:val="2"/>
          <w:sz w:val="32"/>
          <w:szCs w:val="32"/>
        </w:rPr>
        <w:t>（二）人文关怀支出。</w:t>
      </w:r>
      <w:r>
        <w:rPr>
          <w:rFonts w:hint="eastAsia" w:ascii="方正仿宋_GBK" w:hAnsi="方正仿宋_GBK" w:eastAsia="方正仿宋_GBK" w:cs="方正仿宋_GBK"/>
          <w:kern w:val="2"/>
          <w:sz w:val="32"/>
          <w:szCs w:val="32"/>
        </w:rPr>
        <w:t>对遭受严重自然灾害、重大疾病、人员意外伤亡等原因导致家庭生活特别困难群众的临时关怀帮扶；对贫困学生的临时关怀帮扶；定期对五保人员、低保人员、孤儿、失独家庭、高龄人员、生活不能自理人员、精神障碍人员、残疾人员、医保特殊疾病（大病）人员等重点对象进行关怀慰问；定期对获得区委、区政府及以上表彰并保持荣誉的人员进行关怀慰问；定期对在读优秀大学生进行关怀慰问；定期对复员退伍军人、军属、烈属进行关怀慰问；定期对留守老人、留守妇女、留守儿童进行关怀慰问；对生病住院、死亡等进行临时关怀慰问。关怀慰问标准以党群办的实施细则为标准。</w:t>
      </w:r>
    </w:p>
    <w:p>
      <w:pPr>
        <w:ind w:firstLine="640"/>
        <w:rPr>
          <w:rFonts w:hint="eastAsia" w:ascii="方正黑体_GBK" w:hAnsi="方正仿宋_GBK" w:eastAsia="方正黑体_GBK" w:cs="方正仿宋_GBK"/>
          <w:bCs/>
          <w:sz w:val="32"/>
          <w:szCs w:val="32"/>
        </w:rPr>
      </w:pPr>
      <w:r>
        <w:rPr>
          <w:rFonts w:hint="eastAsia" w:ascii="方正黑体_GBK" w:hAnsi="方正仿宋_GBK" w:eastAsia="方正黑体_GBK" w:cs="方正仿宋_GBK"/>
          <w:bCs/>
          <w:sz w:val="32"/>
          <w:szCs w:val="32"/>
        </w:rPr>
        <w:t>三、乡村文化振兴</w:t>
      </w:r>
    </w:p>
    <w:p>
      <w:pPr>
        <w:spacing w:line="560" w:lineRule="atLeast"/>
        <w:ind w:firstLine="643" w:firstLineChars="200"/>
        <w:rPr>
          <w:rFonts w:ascii="方正仿宋_GBK" w:hAnsi="方正仿宋_GBK" w:eastAsia="方正仿宋_GBK" w:cs="方正仿宋_GBK"/>
          <w:color w:val="000000"/>
          <w:sz w:val="32"/>
          <w:szCs w:val="32"/>
        </w:rPr>
      </w:pPr>
      <w:r>
        <w:rPr>
          <w:rFonts w:hint="eastAsia" w:ascii="方正楷体_GBK" w:hAnsi="方正仿宋_GBK" w:eastAsia="方正楷体_GBK" w:cs="方正仿宋_GBK"/>
          <w:b/>
          <w:bCs/>
          <w:sz w:val="32"/>
          <w:szCs w:val="32"/>
        </w:rPr>
        <w:t>（一）乡村阅览室建设支出。</w:t>
      </w:r>
      <w:r>
        <w:rPr>
          <w:rFonts w:hint="eastAsia" w:ascii="方正仿宋_GBK" w:eastAsia="方正仿宋_GBK"/>
          <w:color w:val="000000"/>
          <w:sz w:val="32"/>
          <w:szCs w:val="32"/>
        </w:rPr>
        <w:t>报销镇党委、政府规定的订阅任务范围内的报刊费。</w:t>
      </w:r>
    </w:p>
    <w:p>
      <w:pPr>
        <w:ind w:firstLine="643" w:firstLineChars="200"/>
        <w:rPr>
          <w:rFonts w:ascii="方正仿宋_GBK" w:eastAsia="方正仿宋_GBK"/>
          <w:sz w:val="32"/>
          <w:szCs w:val="32"/>
        </w:rPr>
      </w:pPr>
      <w:r>
        <w:rPr>
          <w:rFonts w:hint="eastAsia" w:ascii="方正楷体_GBK" w:hAnsi="方正仿宋_GBK" w:eastAsia="方正楷体_GBK" w:cs="方正仿宋_GBK"/>
          <w:b/>
          <w:bCs/>
          <w:sz w:val="32"/>
          <w:szCs w:val="32"/>
        </w:rPr>
        <w:t>（二）文化服务活动支出。</w:t>
      </w:r>
      <w:r>
        <w:rPr>
          <w:rFonts w:hint="eastAsia" w:ascii="方正仿宋_GBK" w:eastAsia="方正仿宋_GBK"/>
          <w:sz w:val="32"/>
          <w:szCs w:val="32"/>
        </w:rPr>
        <w:t>集体资金可用于组织开展党和国家路线方针政策、法律法规、创业就业、科普卫生、防灾减灾、文明礼仪等教育培训；组织开展创先争优、弘扬社会主义核心价值观等为主题的评比表彰；组织开展重要节庆日庆祝纪念活动；组织开展积极健康向上的群众性文化体育活动；组织开展普惠性公益性活动；支持村（居）社会组织开展公益服务活动。</w:t>
      </w:r>
    </w:p>
    <w:p>
      <w:pPr>
        <w:ind w:firstLine="640"/>
        <w:rPr>
          <w:rFonts w:ascii="方正黑体_GBK" w:hAnsi="方正仿宋_GBK" w:eastAsia="方正黑体_GBK" w:cs="方正仿宋_GBK"/>
          <w:bCs/>
          <w:sz w:val="32"/>
          <w:szCs w:val="32"/>
        </w:rPr>
      </w:pPr>
      <w:r>
        <w:rPr>
          <w:rFonts w:hint="eastAsia" w:ascii="方正黑体_GBK" w:hAnsi="方正仿宋_GBK" w:eastAsia="方正黑体_GBK" w:cs="方正仿宋_GBK"/>
          <w:bCs/>
          <w:sz w:val="32"/>
          <w:szCs w:val="32"/>
        </w:rPr>
        <w:t>四、乡村生态振兴</w:t>
      </w:r>
    </w:p>
    <w:p>
      <w:pPr>
        <w:ind w:firstLine="643" w:firstLineChars="200"/>
        <w:rPr>
          <w:rFonts w:ascii="方正仿宋_GBK" w:eastAsia="方正仿宋_GBK"/>
          <w:sz w:val="32"/>
          <w:szCs w:val="32"/>
        </w:rPr>
      </w:pPr>
      <w:r>
        <w:rPr>
          <w:rFonts w:hint="eastAsia" w:ascii="方正仿宋_GBK" w:eastAsia="方正仿宋_GBK"/>
          <w:b/>
          <w:bCs/>
          <w:sz w:val="32"/>
          <w:szCs w:val="32"/>
        </w:rPr>
        <w:t>人居环境改善支出。</w:t>
      </w:r>
      <w:r>
        <w:rPr>
          <w:rFonts w:hint="eastAsia" w:ascii="方正仿宋_GBK" w:eastAsia="方正仿宋_GBK"/>
          <w:sz w:val="32"/>
          <w:szCs w:val="32"/>
        </w:rPr>
        <w:t>村（居）群众反映强烈、受益面广</w:t>
      </w:r>
      <w:r>
        <w:rPr>
          <w:rFonts w:ascii="方正仿宋_GBK" w:eastAsia="方正仿宋_GBK"/>
          <w:sz w:val="32"/>
          <w:szCs w:val="32"/>
        </w:rPr>
        <w:t>的</w:t>
      </w:r>
      <w:r>
        <w:rPr>
          <w:rFonts w:hint="eastAsia" w:ascii="方正仿宋_GBK" w:eastAsia="方正仿宋_GBK"/>
          <w:sz w:val="32"/>
          <w:szCs w:val="32"/>
        </w:rPr>
        <w:t>人居环境整治，村（居）负责范围内的垃圾清运，村（居）负责的村社道路、便民路等的日常维护。支出标准以行业主管部门的实施细则为标准。</w:t>
      </w:r>
    </w:p>
    <w:p>
      <w:pPr>
        <w:ind w:firstLine="640"/>
        <w:rPr>
          <w:rFonts w:hint="eastAsia" w:ascii="方正黑体_GBK" w:hAnsi="方正仿宋_GBK" w:eastAsia="方正黑体_GBK" w:cs="方正仿宋_GBK"/>
          <w:bCs/>
          <w:sz w:val="32"/>
          <w:szCs w:val="32"/>
        </w:rPr>
      </w:pPr>
      <w:r>
        <w:rPr>
          <w:rFonts w:hint="eastAsia" w:ascii="方正黑体_GBK" w:hAnsi="方正仿宋_GBK" w:eastAsia="方正黑体_GBK" w:cs="方正仿宋_GBK"/>
          <w:bCs/>
          <w:sz w:val="32"/>
          <w:szCs w:val="32"/>
        </w:rPr>
        <w:t>五、乡村组织振兴</w:t>
      </w:r>
    </w:p>
    <w:p>
      <w:pPr>
        <w:spacing w:line="560" w:lineRule="atLeast"/>
        <w:ind w:firstLine="643" w:firstLineChars="200"/>
        <w:rPr>
          <w:rFonts w:ascii="方正仿宋_GBK" w:eastAsia="方正仿宋_GBK"/>
          <w:sz w:val="32"/>
          <w:szCs w:val="32"/>
        </w:rPr>
      </w:pPr>
      <w:r>
        <w:rPr>
          <w:rFonts w:hint="eastAsia" w:ascii="方正楷体_GBK" w:eastAsia="方正楷体_GBK"/>
          <w:b/>
          <w:bCs/>
          <w:sz w:val="32"/>
          <w:szCs w:val="32"/>
        </w:rPr>
        <w:t>（一）基层组织建设及运行保障支出。</w:t>
      </w:r>
      <w:r>
        <w:rPr>
          <w:rFonts w:hint="eastAsia" w:ascii="方正仿宋_GBK" w:eastAsia="方正仿宋_GBK"/>
          <w:sz w:val="32"/>
          <w:szCs w:val="32"/>
        </w:rPr>
        <w:t>保障村（居）日常办公经费支出，村（居）务监督委员会工作经费支出，村（居）便民服务中心房屋、公共服务设施、文体设施的日常维护。</w:t>
      </w:r>
      <w:r>
        <w:rPr>
          <w:rFonts w:hint="eastAsia" w:ascii="方正仿宋_GBK" w:eastAsia="方正仿宋_GBK"/>
          <w:b/>
          <w:bCs/>
          <w:sz w:val="32"/>
          <w:szCs w:val="32"/>
        </w:rPr>
        <w:t>无工资收入的村（居）务监督委员会成员和社（组）民主理财小组成员</w:t>
      </w:r>
      <w:r>
        <w:rPr>
          <w:rFonts w:hint="eastAsia" w:ascii="方正仿宋_GBK" w:eastAsia="方正仿宋_GBK"/>
          <w:sz w:val="32"/>
          <w:szCs w:val="32"/>
        </w:rPr>
        <w:t>，参与经济活动监督可酌情支付补助。村（居）务监督委员会成员补助费每年每人原则上不超过300元，民主理财小组成员补助费每人每年原则上不超过200元。</w:t>
      </w:r>
      <w:r>
        <w:rPr>
          <w:rFonts w:hint="eastAsia" w:ascii="方正仿宋_GBK" w:eastAsia="方正仿宋_GBK"/>
          <w:b/>
          <w:bCs/>
          <w:color w:val="000000"/>
          <w:sz w:val="32"/>
          <w:szCs w:val="32"/>
        </w:rPr>
        <w:t>资料打印及宣传费</w:t>
      </w:r>
      <w:r>
        <w:rPr>
          <w:rFonts w:hint="eastAsia" w:ascii="方正仿宋_GBK" w:eastAsia="方正仿宋_GBK"/>
          <w:sz w:val="32"/>
          <w:szCs w:val="32"/>
        </w:rPr>
        <w:t>以正式发票为依据实报实销，需提供清单等相应的支付凭据。单笔金额超过2000元的，村（居）务监督委员会、村（居）民主理财小组成员讨论通过后实施。单笔金额超过20000元的，按照“四议两公开”程序及村级组织权力运行清单物资采购流程规定执行。</w:t>
      </w:r>
      <w:r>
        <w:rPr>
          <w:rFonts w:hint="eastAsia" w:ascii="方正仿宋_GBK" w:eastAsia="方正仿宋_GBK"/>
          <w:b/>
          <w:bCs/>
          <w:sz w:val="32"/>
          <w:szCs w:val="32"/>
        </w:rPr>
        <w:t>固定资产购置及单件办公用品</w:t>
      </w:r>
      <w:r>
        <w:rPr>
          <w:rFonts w:hint="eastAsia" w:ascii="方正仿宋_GBK" w:eastAsia="方正仿宋_GBK"/>
          <w:sz w:val="32"/>
          <w:szCs w:val="32"/>
        </w:rPr>
        <w:t>金额在2000元以上的，村（居）务监督委员会（村级）、村（居）民主理财小组成员讨论通过后实施,以正式发票作为报销依据。设施设备等资产购置及办公用品金额在20000元以上的，按照“四议两公开”程序及村级组织权力运行清单物资采购流程规定执行。</w:t>
      </w:r>
    </w:p>
    <w:p>
      <w:pPr>
        <w:spacing w:line="560" w:lineRule="atLeast"/>
        <w:ind w:firstLine="643" w:firstLineChars="200"/>
        <w:rPr>
          <w:rFonts w:ascii="方正仿宋_GBK" w:eastAsia="方正仿宋_GBK"/>
          <w:sz w:val="32"/>
          <w:szCs w:val="32"/>
        </w:rPr>
      </w:pPr>
      <w:r>
        <w:rPr>
          <w:rFonts w:hint="eastAsia" w:ascii="方正楷体_GBK" w:eastAsia="方正楷体_GBK"/>
          <w:b/>
          <w:bCs/>
          <w:sz w:val="32"/>
          <w:szCs w:val="32"/>
        </w:rPr>
        <w:t>（二）公务接待支出。</w:t>
      </w:r>
      <w:r>
        <w:rPr>
          <w:rFonts w:hint="eastAsia" w:ascii="方正仿宋_GBK" w:eastAsia="方正仿宋_GBK"/>
          <w:sz w:val="32"/>
          <w:szCs w:val="32"/>
        </w:rPr>
        <w:t>全镇集体经济组织实行“零”接待费制度。区级各部门、镇级工作人员到村（居）、组开展工作，一律不得由村（居）、组出资安排工作餐或其他吃请活动。特殊情况确需在村社就餐的，原则上在农户家中就餐，所产生的伙食费用，一律由区、镇工作人员自行负责，村（居）、组集体不得报销接待费。因抢险救灾、处置应急突发事件等特殊情况参加人员发生生活费的，按照每人每餐不高于20元的标准执行。</w:t>
      </w:r>
    </w:p>
    <w:p>
      <w:pPr>
        <w:spacing w:line="560" w:lineRule="atLeast"/>
        <w:ind w:firstLine="643" w:firstLineChars="200"/>
        <w:rPr>
          <w:rFonts w:ascii="方正仿宋_GBK" w:eastAsia="方正仿宋_GBK"/>
          <w:sz w:val="32"/>
          <w:szCs w:val="32"/>
        </w:rPr>
      </w:pPr>
      <w:r>
        <w:rPr>
          <w:rFonts w:hint="eastAsia" w:ascii="方正楷体_GBK" w:eastAsia="方正楷体_GBK"/>
          <w:b/>
          <w:bCs/>
          <w:sz w:val="32"/>
          <w:szCs w:val="32"/>
        </w:rPr>
        <w:t>（三）公务支出。</w:t>
      </w:r>
      <w:r>
        <w:rPr>
          <w:rFonts w:hint="eastAsia" w:ascii="方正仿宋_GBK" w:eastAsia="方正仿宋_GBK"/>
          <w:sz w:val="32"/>
          <w:szCs w:val="32"/>
        </w:rPr>
        <w:t>党员会、村（居）民代表大会和村（居）民会议的补助，按实际参会人员每人每天不高于20元的标准发放会议误工补助费。村（居）干部不得发放会议误工补助费。如参会人员统一安排就餐的，原则上在当地农户家中就餐。会议伙食费按照每人每餐不超过20元的标准报销（已发放会议误工补助费的不得报销会议伙食费）。报销会议误工费或会议伙食费时，需提供参会人员签到册。</w:t>
      </w:r>
    </w:p>
    <w:p>
      <w:pPr>
        <w:spacing w:line="560" w:lineRule="atLeast"/>
        <w:ind w:firstLine="643" w:firstLineChars="200"/>
        <w:rPr>
          <w:rFonts w:eastAsia="方正仿宋_GBK"/>
          <w:b/>
          <w:bCs/>
          <w:color w:val="000000"/>
          <w:sz w:val="32"/>
          <w:szCs w:val="32"/>
        </w:rPr>
      </w:pPr>
      <w:r>
        <w:rPr>
          <w:rFonts w:hint="eastAsia" w:ascii="方正楷体_GBK" w:eastAsia="方正楷体_GBK"/>
          <w:b/>
          <w:bCs/>
          <w:sz w:val="32"/>
          <w:szCs w:val="32"/>
        </w:rPr>
        <w:t>（四）差旅费支出。</w:t>
      </w:r>
      <w:r>
        <w:rPr>
          <w:rFonts w:hint="eastAsia" w:ascii="方正仿宋_GBK" w:eastAsia="方正仿宋_GBK"/>
          <w:sz w:val="32"/>
          <w:szCs w:val="32"/>
        </w:rPr>
        <w:t>实行实报实销制度。村（居）组干部到镇政府开会办事，按村（居）办公室和村（居）民小组会议室（点）到镇上客车价额报销，每月报账一次，报销时附开会办事具体时间、事由。同一天到同一地多个部门办事的按一次报销。一天多次到镇上开会办事的可说明情况后按次报销。本村（居）范围内开展工作一律不报销差旅费。到镇政府开会办事，原则上一次报销交通费不得超过30元；到涪陵城区或其他乡镇（街道）开会办事，原则上每次报销交通费不得超过50元，同时按不得超过50元/天报销生活补助费；到涪陵区外开会办事，参照区财政局及上级有关差旅费报销标准执行。开会、办事已由主办单位统一报销生活费、交通费的，不再按此规定报销差旅费。镇内开会办事原则上不得包车。镇外开会办事遇特殊情况确需包车的，需经驻村（居）领导审核同意后据实报销。因抢险救灾、处置应急突发事件等特殊情况发生的差旅费据实报销。</w:t>
      </w:r>
    </w:p>
    <w:p>
      <w:pPr>
        <w:spacing w:line="560" w:lineRule="atLeast"/>
        <w:ind w:firstLine="643" w:firstLineChars="200"/>
        <w:rPr>
          <w:rFonts w:eastAsia="方正仿宋_GBK"/>
          <w:b/>
          <w:bCs/>
          <w:color w:val="000000"/>
          <w:sz w:val="32"/>
          <w:szCs w:val="32"/>
        </w:rPr>
      </w:pPr>
      <w:r>
        <w:rPr>
          <w:rFonts w:hint="eastAsia" w:ascii="方正楷体_GBK" w:eastAsia="方正楷体_GBK"/>
          <w:b/>
          <w:bCs/>
          <w:sz w:val="32"/>
          <w:szCs w:val="32"/>
        </w:rPr>
        <w:t>（五）培训费支出。</w:t>
      </w:r>
      <w:r>
        <w:rPr>
          <w:rFonts w:hint="eastAsia" w:ascii="方正仿宋_GBK" w:eastAsia="方正仿宋_GBK"/>
          <w:sz w:val="32"/>
          <w:szCs w:val="32"/>
        </w:rPr>
        <w:t>参照区财政局及上级有关差旅费报销标准采取实报实销。培训主管单位已经报销培训补助费、差旅费的，不再报销培训费及差旅费。</w:t>
      </w:r>
    </w:p>
    <w:p>
      <w:pPr>
        <w:spacing w:line="560" w:lineRule="atLeast"/>
        <w:ind w:firstLine="643" w:firstLineChars="200"/>
        <w:rPr>
          <w:rFonts w:ascii="方正仿宋_GBK" w:eastAsia="方正仿宋_GBK"/>
          <w:sz w:val="32"/>
          <w:szCs w:val="32"/>
        </w:rPr>
      </w:pPr>
      <w:r>
        <w:rPr>
          <w:rFonts w:hint="eastAsia" w:ascii="方正楷体_GBK" w:eastAsia="方正楷体_GBK"/>
          <w:b/>
          <w:bCs/>
          <w:sz w:val="32"/>
          <w:szCs w:val="32"/>
        </w:rPr>
        <w:t>（六）值班伙食补助支出。</w:t>
      </w:r>
      <w:r>
        <w:rPr>
          <w:rFonts w:hint="eastAsia" w:ascii="方正仿宋_GBK" w:eastAsia="方正仿宋_GBK"/>
          <w:sz w:val="32"/>
          <w:szCs w:val="32"/>
        </w:rPr>
        <w:t>各村（居）根据工作需要，安排人员值班的，值班伙食补助参照《重庆市涪陵区财政局中共重庆市涪陵区委组织部重庆市涪陵区人力资源和社会保障局关于调整完善值班伙食补助政策的通知》（涪财政发﹝2020﹞98号）标准执行。</w:t>
      </w:r>
    </w:p>
    <w:p>
      <w:pPr>
        <w:spacing w:line="560" w:lineRule="atLeast"/>
        <w:ind w:firstLine="643" w:firstLineChars="200"/>
        <w:rPr>
          <w:rFonts w:ascii="方正仿宋_GBK" w:eastAsia="方正仿宋_GBK"/>
          <w:sz w:val="32"/>
          <w:szCs w:val="32"/>
        </w:rPr>
      </w:pPr>
      <w:r>
        <w:rPr>
          <w:rFonts w:hint="eastAsia" w:ascii="方正楷体_GBK" w:eastAsia="方正楷体_GBK"/>
          <w:b/>
          <w:bCs/>
          <w:sz w:val="32"/>
          <w:szCs w:val="32"/>
        </w:rPr>
        <w:t>（七）集体资产管理支出。</w:t>
      </w:r>
      <w:r>
        <w:rPr>
          <w:rFonts w:hint="eastAsia" w:ascii="方正仿宋_GBK" w:eastAsia="方正仿宋_GBK"/>
          <w:sz w:val="32"/>
          <w:szCs w:val="32"/>
        </w:rPr>
        <w:t>村（居）集体资产、资源的管理维护；村（居）群众反映强烈、受益面广，急需解决的其它重要事项的支出。</w:t>
      </w:r>
    </w:p>
    <w:p>
      <w:pPr>
        <w:ind w:firstLine="643" w:firstLineChars="200"/>
        <w:rPr>
          <w:rFonts w:ascii="方正仿宋_GBK" w:eastAsia="方正仿宋_GBK"/>
          <w:sz w:val="32"/>
          <w:szCs w:val="32"/>
        </w:rPr>
      </w:pPr>
      <w:r>
        <w:rPr>
          <w:rFonts w:hint="eastAsia" w:ascii="方正楷体_GBK" w:eastAsia="方正楷体_GBK"/>
          <w:b/>
          <w:bCs/>
          <w:sz w:val="32"/>
          <w:szCs w:val="32"/>
        </w:rPr>
        <w:t>（八）加强群众性组织建设。</w:t>
      </w:r>
      <w:r>
        <w:rPr>
          <w:rFonts w:hint="eastAsia" w:ascii="方正仿宋_GBK" w:eastAsia="方正仿宋_GBK"/>
          <w:sz w:val="32"/>
          <w:szCs w:val="32"/>
        </w:rPr>
        <w:t>按农业社建立微信群、QQ群等群众性信息交流平台，由村干部或社干部进行管理，电话费实行按月包干制。村（居）支部书记、主任每人补助100元/月，综治专干、服务专干、本土人才每人补助80元/月，村（居）民小组长每人补助50元/月。</w:t>
      </w:r>
    </w:p>
    <w:p>
      <w:pPr>
        <w:spacing w:line="560" w:lineRule="atLeast"/>
        <w:ind w:firstLine="640" w:firstLineChars="200"/>
        <w:rPr>
          <w:rFonts w:ascii="方正仿宋_GBK" w:eastAsia="方正仿宋_GBK"/>
          <w:sz w:val="32"/>
          <w:szCs w:val="32"/>
        </w:rPr>
      </w:pPr>
      <w:r>
        <w:rPr>
          <w:rFonts w:hint="eastAsia" w:ascii="方正黑体_GBK" w:eastAsia="方正黑体_GBK"/>
          <w:sz w:val="32"/>
          <w:szCs w:val="32"/>
        </w:rPr>
        <w:t>六、服务群众经费：</w:t>
      </w:r>
      <w:r>
        <w:rPr>
          <w:rFonts w:hint="eastAsia" w:ascii="方正仿宋_GBK" w:eastAsia="方正仿宋_GBK"/>
          <w:sz w:val="32"/>
          <w:szCs w:val="32"/>
        </w:rPr>
        <w:t>按照有关村（居）服务群众工作专项经费管理使用规定执行。</w:t>
      </w:r>
    </w:p>
    <w:p>
      <w:pPr>
        <w:spacing w:line="560" w:lineRule="atLeast"/>
        <w:ind w:firstLine="640" w:firstLineChars="200"/>
        <w:rPr>
          <w:rFonts w:ascii="方正仿宋_GBK" w:eastAsia="方正仿宋_GBK"/>
          <w:sz w:val="32"/>
          <w:szCs w:val="32"/>
        </w:rPr>
      </w:pPr>
      <w:r>
        <w:rPr>
          <w:rFonts w:hint="eastAsia" w:ascii="方正黑体_GBK" w:eastAsia="方正黑体_GBK"/>
          <w:sz w:val="32"/>
          <w:szCs w:val="32"/>
        </w:rPr>
        <w:t>七、集体建设工程项目经费：</w:t>
      </w:r>
      <w:r>
        <w:rPr>
          <w:rFonts w:hint="eastAsia" w:ascii="方正仿宋_GBK" w:eastAsia="方正仿宋_GBK"/>
          <w:sz w:val="32"/>
          <w:szCs w:val="32"/>
        </w:rPr>
        <w:t>按照《石沱镇农村集体建设项目管理办法》执行。</w:t>
      </w:r>
    </w:p>
    <w:p>
      <w:pPr>
        <w:spacing w:line="560" w:lineRule="atLeast"/>
        <w:ind w:firstLine="640" w:firstLineChars="200"/>
        <w:rPr>
          <w:rFonts w:ascii="方正仿宋_GBK" w:eastAsia="方正仿宋_GBK"/>
          <w:sz w:val="32"/>
          <w:szCs w:val="32"/>
        </w:rPr>
      </w:pPr>
      <w:r>
        <w:rPr>
          <w:rFonts w:hint="eastAsia" w:ascii="方正黑体_GBK" w:eastAsia="方正黑体_GBK"/>
          <w:sz w:val="32"/>
          <w:szCs w:val="32"/>
        </w:rPr>
        <w:t>八、集体土地复垦资金：</w:t>
      </w:r>
      <w:r>
        <w:rPr>
          <w:rFonts w:hint="eastAsia" w:ascii="方正仿宋_GBK" w:eastAsia="方正仿宋_GBK"/>
          <w:sz w:val="32"/>
          <w:szCs w:val="32"/>
        </w:rPr>
        <w:t>按照《石沱镇农村集体组织建设用地复垦资金管理使用实施细则》规定执行。</w:t>
      </w:r>
    </w:p>
    <w:p>
      <w:pPr>
        <w:spacing w:line="560" w:lineRule="atLeast"/>
        <w:ind w:firstLine="640" w:firstLineChars="200"/>
        <w:rPr>
          <w:rFonts w:ascii="方正仿宋_GBK" w:eastAsia="方正仿宋_GBK"/>
          <w:sz w:val="32"/>
          <w:szCs w:val="32"/>
        </w:rPr>
      </w:pPr>
      <w:r>
        <w:rPr>
          <w:rFonts w:hint="eastAsia" w:ascii="方正黑体_GBK" w:eastAsia="方正黑体_GBK"/>
          <w:sz w:val="32"/>
          <w:szCs w:val="32"/>
        </w:rPr>
        <w:t>九、征地补偿款：</w:t>
      </w:r>
      <w:r>
        <w:rPr>
          <w:rFonts w:hint="eastAsia" w:ascii="方正仿宋_GBK" w:eastAsia="方正仿宋_GBK"/>
          <w:sz w:val="32"/>
          <w:szCs w:val="32"/>
        </w:rPr>
        <w:t>按照《石沱镇农村集体土地征收补偿资金使用管理办法》规定执行。</w:t>
      </w:r>
    </w:p>
    <w:p>
      <w:r>
        <w:rPr>
          <w:rFonts w:ascii="方正仿宋_GBK" w:eastAsia="方正仿宋_GBK"/>
          <w:color w:val="000000"/>
          <w:sz w:val="32"/>
          <w:szCs w:val="32"/>
        </w:rPr>
        <w:br w:type="page"/>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黑体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U0OTcyOTkwNjdlYzBjNzVmYmEyYWZhMzNhNmI3ZjMifQ=="/>
  </w:docVars>
  <w:rsids>
    <w:rsidRoot w:val="11C81686"/>
    <w:rsid w:val="11C816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paragraph" w:customStyle="1" w:styleId="4">
    <w:name w:val="p0"/>
    <w:basedOn w:val="1"/>
    <w:qFormat/>
    <w:uiPriority w:val="0"/>
    <w:pPr>
      <w:widowControl/>
    </w:pPr>
    <w:rPr>
      <w:kern w:val="0"/>
      <w:szCs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2716</Words>
  <Characters>2751</Characters>
  <Lines>0</Lines>
  <Paragraphs>0</Paragraphs>
  <TotalTime>0</TotalTime>
  <ScaleCrop>false</ScaleCrop>
  <LinksUpToDate>false</LinksUpToDate>
  <CharactersWithSpaces>2751</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2023-02-02T03:29:00Z</dcterms:created>
  <dc:creator>WPS_1640668902</dc:creator>
  <cp:lastModifiedBy>WPS_1640668902</cp:lastModifiedBy>
  <dcterms:modified xsi:type="dcterms:W3CDTF">2023-02-02T03:30:40Z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F1F73B15BEEF42C58C9D89EB929C9BFD</vt:lpwstr>
  </property>
</Properties>
</file>