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lang w:val="en-US" w:eastAsia="zh-CN"/>
        </w:rPr>
        <w:t>重庆市涪陵病死禽畜无害化处理中心项目选址论证报告方案公示</w:t>
      </w:r>
    </w:p>
    <w:p>
      <w:pPr>
        <w:rPr>
          <w:rFonts w:hint="eastAsia" w:ascii="宋体" w:hAnsi="宋体" w:eastAsia="宋体" w:cs="宋体"/>
          <w:b/>
          <w:szCs w:val="21"/>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宋体" w:hAnsi="宋体" w:eastAsia="宋体" w:cs="宋体"/>
          <w:b w:val="0"/>
          <w:bCs/>
          <w:sz w:val="22"/>
          <w:szCs w:val="22"/>
          <w:lang w:val="en-US" w:eastAsia="zh-CN"/>
        </w:rPr>
      </w:pPr>
      <w:r>
        <w:rPr>
          <w:rFonts w:hint="eastAsia" w:ascii="宋体" w:hAnsi="宋体" w:eastAsia="宋体" w:cs="宋体"/>
          <w:b/>
          <w:sz w:val="22"/>
          <w:szCs w:val="22"/>
        </w:rPr>
        <w:t>申请单位：</w:t>
      </w:r>
      <w:r>
        <w:rPr>
          <w:rFonts w:hint="eastAsia" w:ascii="宋体" w:hAnsi="宋体" w:eastAsia="宋体" w:cs="宋体"/>
          <w:b w:val="0"/>
          <w:bCs/>
          <w:sz w:val="22"/>
          <w:szCs w:val="22"/>
          <w:lang w:val="en-US" w:eastAsia="zh-CN"/>
        </w:rPr>
        <w:t>重庆市涪陵区石沱镇人民政府</w:t>
      </w:r>
    </w:p>
    <w:tbl>
      <w:tblPr>
        <w:tblStyle w:val="8"/>
        <w:tblpPr w:leftFromText="180" w:rightFromText="180" w:vertAnchor="text" w:horzAnchor="page" w:tblpX="16266" w:tblpY="4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6880" w:type="dxa"/>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ascii="黑体" w:hAnsi="黑体" w:eastAsia="黑体" w:cs="黑体"/>
                <w:sz w:val="40"/>
                <w:szCs w:val="40"/>
              </w:rPr>
            </w:pPr>
            <w:r>
              <w:rPr>
                <w:rFonts w:hint="eastAsia" w:ascii="黑体" w:hAnsi="黑体" w:eastAsia="黑体" w:cs="黑体"/>
                <w:sz w:val="22"/>
                <w:szCs w:val="22"/>
              </w:rPr>
              <w:t>区位图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5" w:hRule="atLeast"/>
        </w:trPr>
        <w:tc>
          <w:tcPr>
            <w:tcW w:w="6880" w:type="dxa"/>
          </w:tcPr>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ascii="黑体" w:hAnsi="黑体" w:eastAsia="黑体" w:cs="黑体"/>
                <w:sz w:val="40"/>
                <w:szCs w:val="40"/>
              </w:rPr>
            </w:pPr>
            <w:r>
              <w:rPr>
                <w:sz w:val="22"/>
                <w:szCs w:val="28"/>
              </w:rPr>
              <w:drawing>
                <wp:inline distT="0" distB="0" distL="114300" distR="114300">
                  <wp:extent cx="4277995" cy="3460115"/>
                  <wp:effectExtent l="0" t="0" r="8255" b="6985"/>
                  <wp:docPr id="12" name="图片 12" descr="01区位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01区位图"/>
                          <pic:cNvPicPr>
                            <a:picLocks noChangeAspect="1"/>
                          </pic:cNvPicPr>
                        </pic:nvPicPr>
                        <pic:blipFill>
                          <a:blip r:embed="rId4"/>
                          <a:srcRect t="6897" b="8018"/>
                          <a:stretch>
                            <a:fillRect/>
                          </a:stretch>
                        </pic:blipFill>
                        <pic:spPr>
                          <a:xfrm>
                            <a:off x="0" y="0"/>
                            <a:ext cx="4277995" cy="346011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6880" w:type="dxa"/>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eastAsiaTheme="minorEastAsia"/>
                <w:sz w:val="22"/>
                <w:szCs w:val="28"/>
                <w:lang w:val="en-US" w:eastAsia="zh-CN"/>
              </w:rPr>
            </w:pPr>
            <w:r>
              <w:rPr>
                <w:rFonts w:hint="eastAsia"/>
                <w:sz w:val="22"/>
                <w:szCs w:val="28"/>
                <w:lang w:val="en-US" w:eastAsia="zh-CN"/>
              </w:rPr>
              <w:t>影像图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5" w:hRule="atLeast"/>
        </w:trPr>
        <w:tc>
          <w:tcPr>
            <w:tcW w:w="6880" w:type="dxa"/>
          </w:tcPr>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sz w:val="22"/>
                <w:szCs w:val="28"/>
              </w:rPr>
            </w:pPr>
            <w:r>
              <w:rPr>
                <w:sz w:val="22"/>
                <w:szCs w:val="28"/>
              </w:rPr>
              <w:drawing>
                <wp:inline distT="0" distB="0" distL="114300" distR="114300">
                  <wp:extent cx="4326255" cy="3476625"/>
                  <wp:effectExtent l="0" t="0" r="17145"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4326255" cy="3476625"/>
                          </a:xfrm>
                          <a:prstGeom prst="rect">
                            <a:avLst/>
                          </a:prstGeom>
                          <a:noFill/>
                          <a:ln>
                            <a:noFill/>
                          </a:ln>
                        </pic:spPr>
                      </pic:pic>
                    </a:graphicData>
                  </a:graphic>
                </wp:inline>
              </w:drawing>
            </w:r>
          </w:p>
        </w:tc>
      </w:tr>
    </w:tbl>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宋体" w:hAnsi="宋体" w:eastAsia="宋体" w:cs="宋体"/>
          <w:b w:val="0"/>
          <w:bCs/>
          <w:sz w:val="22"/>
          <w:szCs w:val="22"/>
          <w:lang w:val="en-US" w:eastAsia="zh-CN"/>
        </w:rPr>
      </w:pPr>
      <w:r>
        <w:rPr>
          <w:rFonts w:hint="eastAsia" w:ascii="宋体" w:hAnsi="宋体" w:eastAsia="宋体" w:cs="宋体"/>
          <w:b/>
          <w:sz w:val="22"/>
          <w:szCs w:val="22"/>
          <w:lang w:val="en-US" w:eastAsia="zh-CN"/>
        </w:rPr>
        <w:t>编制原因：</w:t>
      </w:r>
      <w:r>
        <w:rPr>
          <w:rFonts w:hint="eastAsia" w:ascii="宋体" w:hAnsi="宋体" w:eastAsia="宋体" w:cs="宋体"/>
          <w:b w:val="0"/>
          <w:bCs/>
          <w:sz w:val="22"/>
          <w:szCs w:val="22"/>
          <w:lang w:val="en-US" w:eastAsia="zh-CN"/>
        </w:rPr>
        <w:t>根据国家及重庆市畜牧发展、生态环保相关法规规划要求，针对涪陵区畜禽养殖规模稳定、病死禽畜处置现有设施不足、处置不规范的现状，通过科学选址补齐区域无害化处置短板，完善全域处置体系，规避选址不当引发的疫病传播、公共卫生及生态环境污染风险，保障区域生态安全与群众健康，助力畜牧产业绿色健康发展。为保障涪陵区病死禽畜无害化处理中心项目合法合规、安全落地运营，特编制本方案。</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val="0"/>
          <w:color w:val="000000" w:themeColor="text1"/>
          <w:sz w:val="22"/>
          <w:szCs w:val="22"/>
          <w:lang w:val="en-US" w:eastAsia="zh-CN"/>
          <w14:textFill>
            <w14:solidFill>
              <w14:schemeClr w14:val="tx1"/>
            </w14:solidFill>
          </w14:textFill>
        </w:rPr>
      </w:pPr>
      <w:r>
        <w:rPr>
          <w:rFonts w:hint="eastAsia" w:ascii="宋体" w:hAnsi="宋体" w:eastAsia="宋体" w:cs="宋体"/>
          <w:b/>
          <w:bCs/>
          <w:sz w:val="22"/>
          <w:szCs w:val="22"/>
          <w:lang w:eastAsia="zh-CN"/>
        </w:rPr>
        <w:t>编制</w:t>
      </w:r>
      <w:r>
        <w:rPr>
          <w:rFonts w:hint="eastAsia" w:ascii="宋体" w:hAnsi="宋体" w:eastAsia="宋体" w:cs="宋体"/>
          <w:b/>
          <w:bCs/>
          <w:sz w:val="22"/>
          <w:szCs w:val="22"/>
        </w:rPr>
        <w:t>依据：</w:t>
      </w:r>
      <w:r>
        <w:rPr>
          <w:rFonts w:hint="eastAsia" w:ascii="宋体" w:hAnsi="宋体" w:eastAsia="宋体" w:cs="宋体"/>
          <w:b w:val="0"/>
          <w:bCs w:val="0"/>
          <w:color w:val="000000" w:themeColor="text1"/>
          <w:sz w:val="22"/>
          <w:szCs w:val="22"/>
          <w:lang w:eastAsia="zh-CN"/>
          <w14:textFill>
            <w14:solidFill>
              <w14:schemeClr w14:val="tx1"/>
            </w14:solidFill>
          </w14:textFill>
        </w:rPr>
        <w:t>（</w:t>
      </w:r>
      <w:r>
        <w:rPr>
          <w:rFonts w:hint="eastAsia" w:ascii="宋体" w:hAnsi="宋体" w:eastAsia="宋体" w:cs="宋体"/>
          <w:b w:val="0"/>
          <w:bCs w:val="0"/>
          <w:color w:val="000000" w:themeColor="text1"/>
          <w:sz w:val="22"/>
          <w:szCs w:val="22"/>
          <w:lang w:val="en-US" w:eastAsia="zh-CN"/>
          <w14:textFill>
            <w14:solidFill>
              <w14:schemeClr w14:val="tx1"/>
            </w14:solidFill>
          </w14:textFill>
        </w:rPr>
        <w:t>1</w:t>
      </w:r>
      <w:r>
        <w:rPr>
          <w:rFonts w:hint="eastAsia" w:ascii="宋体" w:hAnsi="宋体" w:eastAsia="宋体" w:cs="宋体"/>
          <w:b w:val="0"/>
          <w:bCs w:val="0"/>
          <w:color w:val="000000" w:themeColor="text1"/>
          <w:sz w:val="22"/>
          <w:szCs w:val="22"/>
          <w:lang w:eastAsia="zh-CN"/>
          <w14:textFill>
            <w14:solidFill>
              <w14:schemeClr w14:val="tx1"/>
            </w14:solidFill>
          </w14:textFill>
        </w:rPr>
        <w:t>）</w:t>
      </w:r>
      <w:r>
        <w:rPr>
          <w:rFonts w:hint="eastAsia" w:ascii="宋体" w:hAnsi="宋体" w:eastAsia="宋体" w:cs="宋体"/>
          <w:b w:val="0"/>
          <w:bCs w:val="0"/>
          <w:color w:val="000000" w:themeColor="text1"/>
          <w:sz w:val="22"/>
          <w:szCs w:val="22"/>
          <w14:textFill>
            <w14:solidFill>
              <w14:schemeClr w14:val="tx1"/>
            </w14:solidFill>
          </w14:textFill>
        </w:rPr>
        <w:t>《中华人民共和国城乡规划法》</w:t>
      </w:r>
      <w:r>
        <w:rPr>
          <w:rFonts w:hint="eastAsia" w:ascii="宋体" w:hAnsi="宋体" w:eastAsia="宋体" w:cs="宋体"/>
          <w:b w:val="0"/>
          <w:bCs w:val="0"/>
          <w:color w:val="000000" w:themeColor="text1"/>
          <w:sz w:val="22"/>
          <w:szCs w:val="22"/>
          <w:lang w:eastAsia="zh-CN"/>
          <w14:textFill>
            <w14:solidFill>
              <w14:schemeClr w14:val="tx1"/>
            </w14:solidFill>
          </w14:textFill>
        </w:rPr>
        <w:t>、（</w:t>
      </w:r>
      <w:r>
        <w:rPr>
          <w:rFonts w:hint="eastAsia" w:ascii="宋体" w:hAnsi="宋体" w:eastAsia="宋体" w:cs="宋体"/>
          <w:b w:val="0"/>
          <w:bCs w:val="0"/>
          <w:color w:val="000000" w:themeColor="text1"/>
          <w:sz w:val="22"/>
          <w:szCs w:val="22"/>
          <w:lang w:val="en-US" w:eastAsia="zh-CN"/>
          <w14:textFill>
            <w14:solidFill>
              <w14:schemeClr w14:val="tx1"/>
            </w14:solidFill>
          </w14:textFill>
        </w:rPr>
        <w:t>2</w:t>
      </w:r>
      <w:r>
        <w:rPr>
          <w:rFonts w:hint="eastAsia" w:ascii="宋体" w:hAnsi="宋体" w:eastAsia="宋体" w:cs="宋体"/>
          <w:b w:val="0"/>
          <w:bCs w:val="0"/>
          <w:color w:val="000000" w:themeColor="text1"/>
          <w:sz w:val="22"/>
          <w:szCs w:val="22"/>
          <w:lang w:eastAsia="zh-CN"/>
          <w14:textFill>
            <w14:solidFill>
              <w14:schemeClr w14:val="tx1"/>
            </w14:solidFill>
          </w14:textFill>
        </w:rPr>
        <w:t>）</w:t>
      </w:r>
      <w:r>
        <w:rPr>
          <w:rFonts w:hint="eastAsia" w:ascii="宋体" w:hAnsi="宋体" w:eastAsia="宋体" w:cs="宋体"/>
          <w:b w:val="0"/>
          <w:bCs w:val="0"/>
          <w:color w:val="000000" w:themeColor="text1"/>
          <w:sz w:val="22"/>
          <w:szCs w:val="22"/>
          <w14:textFill>
            <w14:solidFill>
              <w14:schemeClr w14:val="tx1"/>
            </w14:solidFill>
          </w14:textFill>
        </w:rPr>
        <w:t>《</w:t>
      </w:r>
      <w:r>
        <w:rPr>
          <w:rFonts w:hint="eastAsia" w:ascii="宋体" w:hAnsi="宋体" w:eastAsia="宋体" w:cs="宋体"/>
          <w:b w:val="0"/>
          <w:bCs w:val="0"/>
          <w:color w:val="000000" w:themeColor="text1"/>
          <w:sz w:val="22"/>
          <w:szCs w:val="22"/>
          <w:lang w:eastAsia="zh-CN"/>
          <w14:textFill>
            <w14:solidFill>
              <w14:schemeClr w14:val="tx1"/>
            </w14:solidFill>
          </w14:textFill>
        </w:rPr>
        <w:t>中华人民共和国动物防疫法</w:t>
      </w:r>
      <w:r>
        <w:rPr>
          <w:rFonts w:hint="eastAsia" w:ascii="宋体" w:hAnsi="宋体" w:eastAsia="宋体" w:cs="宋体"/>
          <w:b w:val="0"/>
          <w:bCs w:val="0"/>
          <w:color w:val="000000" w:themeColor="text1"/>
          <w:sz w:val="22"/>
          <w:szCs w:val="22"/>
          <w14:textFill>
            <w14:solidFill>
              <w14:schemeClr w14:val="tx1"/>
            </w14:solidFill>
          </w14:textFill>
        </w:rPr>
        <w:t>》</w:t>
      </w:r>
      <w:r>
        <w:rPr>
          <w:rFonts w:hint="eastAsia" w:ascii="宋体" w:hAnsi="宋体" w:eastAsia="宋体" w:cs="宋体"/>
          <w:b w:val="0"/>
          <w:bCs w:val="0"/>
          <w:color w:val="000000" w:themeColor="text1"/>
          <w:sz w:val="22"/>
          <w:szCs w:val="22"/>
          <w:lang w:eastAsia="zh-CN"/>
          <w14:textFill>
            <w14:solidFill>
              <w14:schemeClr w14:val="tx1"/>
            </w14:solidFill>
          </w14:textFill>
        </w:rPr>
        <w:t>、（</w:t>
      </w:r>
      <w:r>
        <w:rPr>
          <w:rFonts w:hint="eastAsia" w:ascii="宋体" w:hAnsi="宋体" w:eastAsia="宋体" w:cs="宋体"/>
          <w:b w:val="0"/>
          <w:bCs w:val="0"/>
          <w:color w:val="000000" w:themeColor="text1"/>
          <w:sz w:val="22"/>
          <w:szCs w:val="22"/>
          <w:lang w:val="en-US" w:eastAsia="zh-CN"/>
          <w14:textFill>
            <w14:solidFill>
              <w14:schemeClr w14:val="tx1"/>
            </w14:solidFill>
          </w14:textFill>
        </w:rPr>
        <w:t>3</w:t>
      </w:r>
      <w:r>
        <w:rPr>
          <w:rFonts w:hint="eastAsia" w:ascii="宋体" w:hAnsi="宋体" w:eastAsia="宋体" w:cs="宋体"/>
          <w:b w:val="0"/>
          <w:bCs w:val="0"/>
          <w:color w:val="000000" w:themeColor="text1"/>
          <w:sz w:val="22"/>
          <w:szCs w:val="22"/>
          <w:lang w:eastAsia="zh-CN"/>
          <w14:textFill>
            <w14:solidFill>
              <w14:schemeClr w14:val="tx1"/>
            </w14:solidFill>
          </w14:textFill>
        </w:rPr>
        <w:t>）《</w:t>
      </w:r>
      <w:r>
        <w:rPr>
          <w:rFonts w:hint="eastAsia" w:ascii="宋体" w:hAnsi="宋体" w:eastAsia="宋体" w:cs="宋体"/>
          <w:b w:val="0"/>
          <w:bCs w:val="0"/>
          <w:color w:val="000000" w:themeColor="text1"/>
          <w:sz w:val="22"/>
          <w:szCs w:val="22"/>
          <w:lang w:val="en-US" w:eastAsia="zh-CN"/>
          <w14:textFill>
            <w14:solidFill>
              <w14:schemeClr w14:val="tx1"/>
            </w14:solidFill>
          </w14:textFill>
        </w:rPr>
        <w:t>中华人民共和国土地管理法</w:t>
      </w:r>
      <w:r>
        <w:rPr>
          <w:rFonts w:hint="eastAsia" w:ascii="宋体" w:hAnsi="宋体" w:eastAsia="宋体" w:cs="宋体"/>
          <w:b w:val="0"/>
          <w:bCs w:val="0"/>
          <w:color w:val="000000" w:themeColor="text1"/>
          <w:sz w:val="22"/>
          <w:szCs w:val="22"/>
          <w:lang w:eastAsia="zh-CN"/>
          <w14:textFill>
            <w14:solidFill>
              <w14:schemeClr w14:val="tx1"/>
            </w14:solidFill>
          </w14:textFill>
        </w:rPr>
        <w:t>》</w:t>
      </w:r>
      <w:r>
        <w:rPr>
          <w:rFonts w:hint="eastAsia" w:ascii="宋体" w:hAnsi="宋体" w:eastAsia="宋体" w:cs="宋体"/>
          <w:b w:val="0"/>
          <w:bCs w:val="0"/>
          <w:color w:val="000000" w:themeColor="text1"/>
          <w:sz w:val="22"/>
          <w:szCs w:val="22"/>
          <w:lang w:val="en-US" w:eastAsia="zh-CN"/>
          <w14:textFill>
            <w14:solidFill>
              <w14:schemeClr w14:val="tx1"/>
            </w14:solidFill>
          </w14:textFill>
        </w:rPr>
        <w:t>2019修订、（4）</w:t>
      </w:r>
      <w:r>
        <w:rPr>
          <w:rFonts w:hint="eastAsia" w:ascii="宋体" w:hAnsi="宋体" w:eastAsia="宋体" w:cs="宋体"/>
          <w:b w:val="0"/>
          <w:bCs w:val="0"/>
          <w:color w:val="000000" w:themeColor="text1"/>
          <w:sz w:val="22"/>
          <w:szCs w:val="22"/>
          <w14:textFill>
            <w14:solidFill>
              <w14:schemeClr w14:val="tx1"/>
            </w14:solidFill>
          </w14:textFill>
        </w:rPr>
        <w:t>《重庆市城乡规划条例》（2017）</w:t>
      </w:r>
      <w:r>
        <w:rPr>
          <w:rFonts w:hint="eastAsia" w:ascii="宋体" w:hAnsi="宋体" w:eastAsia="宋体" w:cs="宋体"/>
          <w:b w:val="0"/>
          <w:bCs w:val="0"/>
          <w:color w:val="000000" w:themeColor="text1"/>
          <w:sz w:val="22"/>
          <w:szCs w:val="22"/>
          <w:lang w:eastAsia="zh-CN"/>
          <w14:textFill>
            <w14:solidFill>
              <w14:schemeClr w14:val="tx1"/>
            </w14:solidFill>
          </w14:textFill>
        </w:rPr>
        <w:t>、</w:t>
      </w:r>
      <w:r>
        <w:rPr>
          <w:rFonts w:hint="eastAsia" w:ascii="宋体" w:hAnsi="宋体" w:eastAsia="宋体" w:cs="宋体"/>
          <w:b w:val="0"/>
          <w:bCs w:val="0"/>
          <w:color w:val="000000" w:themeColor="text1"/>
          <w:sz w:val="22"/>
          <w:szCs w:val="22"/>
          <w:lang w:val="en-US" w:eastAsia="zh-CN"/>
          <w14:textFill>
            <w14:solidFill>
              <w14:schemeClr w14:val="tx1"/>
            </w14:solidFill>
          </w14:textFill>
        </w:rPr>
        <w:t>（5）《重庆市涪陵区国土空间分区规划（2021-2035年）》、（6）《病死畜禽和病害畜禽产品无害化管理办法》（农业农村部令2022年3号）、（7）《动物防疫条件审查办法》、（8）重庆市生态环境分区管控智检报告、（9）其他相关法律法规及规</w:t>
      </w:r>
      <w:bookmarkStart w:id="0" w:name="_GoBack"/>
      <w:bookmarkEnd w:id="0"/>
      <w:r>
        <w:rPr>
          <w:rFonts w:hint="eastAsia" w:ascii="宋体" w:hAnsi="宋体" w:eastAsia="宋体" w:cs="宋体"/>
          <w:b w:val="0"/>
          <w:bCs w:val="0"/>
          <w:color w:val="000000" w:themeColor="text1"/>
          <w:sz w:val="22"/>
          <w:szCs w:val="22"/>
          <w:lang w:val="en-US" w:eastAsia="zh-CN"/>
          <w14:textFill>
            <w14:solidFill>
              <w14:schemeClr w14:val="tx1"/>
            </w14:solidFill>
          </w14:textFill>
        </w:rPr>
        <w:t>范标准、（10）项目地质灾害危险性评估报告、环评报告、发改备案文件、现状地形及用地调查资料。</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ascii="宋体" w:hAnsi="宋体" w:eastAsia="宋体" w:cs="宋体"/>
          <w:sz w:val="22"/>
          <w:szCs w:val="22"/>
        </w:rPr>
      </w:pPr>
      <w:r>
        <w:rPr>
          <w:rFonts w:hint="eastAsia" w:ascii="宋体" w:hAnsi="宋体" w:eastAsia="宋体" w:cs="宋体"/>
          <w:b/>
          <w:sz w:val="22"/>
          <w:szCs w:val="22"/>
        </w:rPr>
        <w:t>编制单位：</w:t>
      </w:r>
      <w:r>
        <w:rPr>
          <w:rFonts w:hint="eastAsia" w:ascii="宋体" w:hAnsi="宋体" w:eastAsia="宋体" w:cs="宋体"/>
          <w:sz w:val="22"/>
          <w:szCs w:val="22"/>
        </w:rPr>
        <w:t>重庆市涪陵区规划勘测院</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sz w:val="22"/>
          <w:szCs w:val="22"/>
          <w:lang w:val="en-US" w:eastAsia="zh-CN"/>
        </w:rPr>
      </w:pPr>
      <w:r>
        <w:rPr>
          <w:rFonts w:hint="eastAsia" w:ascii="宋体" w:hAnsi="宋体" w:eastAsia="宋体" w:cs="宋体"/>
          <w:b/>
          <w:sz w:val="22"/>
          <w:szCs w:val="22"/>
          <w:lang w:val="en-US" w:eastAsia="zh-CN"/>
        </w:rPr>
        <w:t>编制</w:t>
      </w:r>
      <w:r>
        <w:rPr>
          <w:rFonts w:hint="eastAsia" w:ascii="宋体" w:hAnsi="宋体" w:eastAsia="宋体" w:cs="宋体"/>
          <w:b/>
          <w:sz w:val="22"/>
          <w:szCs w:val="22"/>
        </w:rPr>
        <w:t>内容：</w:t>
      </w:r>
      <w:r>
        <w:rPr>
          <w:rFonts w:hint="eastAsia" w:ascii="宋体" w:hAnsi="宋体" w:eastAsia="宋体" w:cs="宋体"/>
          <w:b w:val="0"/>
          <w:bCs/>
          <w:sz w:val="22"/>
          <w:szCs w:val="22"/>
          <w:lang w:val="en-US" w:eastAsia="zh-CN"/>
        </w:rPr>
        <w:t>报告对本项目与当前政策、政府相关文件精神；与相关规划的符合性进行分析，综合考虑各种因素，对项目选址方案的场地区位、用地条件、三区三线符合性、交通条件、设施配套、地质条件和环境影响等场地条件与外部条件均做了较为系统的分析论证。分析结论确定，本项目建设具有适宜的用地条件、优越的交通条件、完善的基础设施，在落实</w:t>
      </w:r>
      <w:r>
        <w:rPr>
          <w:rFonts w:hint="eastAsia" w:ascii="宋体" w:hAnsi="宋体" w:eastAsia="宋体" w:cs="宋体"/>
          <w:b w:val="0"/>
          <w:bCs w:val="0"/>
          <w:color w:val="000000" w:themeColor="text1"/>
          <w:sz w:val="22"/>
          <w:szCs w:val="22"/>
          <w:lang w:val="en-US" w:eastAsia="zh-CN"/>
          <w14:textFill>
            <w14:solidFill>
              <w14:schemeClr w14:val="tx1"/>
            </w14:solidFill>
          </w14:textFill>
        </w:rPr>
        <w:t>地质灾害危险性评估报告、环评报告</w:t>
      </w:r>
      <w:r>
        <w:rPr>
          <w:rFonts w:hint="eastAsia" w:ascii="宋体" w:hAnsi="宋体" w:eastAsia="宋体" w:cs="宋体"/>
          <w:b w:val="0"/>
          <w:bCs/>
          <w:sz w:val="22"/>
          <w:szCs w:val="22"/>
          <w:lang w:val="en-US" w:eastAsia="zh-CN"/>
        </w:rPr>
        <w:t>等措施，完善相关程序后，项目建设合理、可行。</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宋体" w:hAnsi="宋体" w:eastAsia="宋体" w:cs="宋体"/>
          <w:b w:val="0"/>
          <w:bCs/>
          <w:sz w:val="22"/>
          <w:szCs w:val="22"/>
          <w:lang w:val="en-US" w:eastAsia="zh-CN"/>
        </w:rPr>
      </w:pPr>
      <w:r>
        <w:rPr>
          <w:rFonts w:hint="eastAsia" w:ascii="宋体" w:hAnsi="宋体" w:eastAsia="宋体" w:cs="宋体"/>
          <w:b/>
          <w:sz w:val="22"/>
          <w:szCs w:val="22"/>
        </w:rPr>
        <w:t>公示单位：</w:t>
      </w:r>
      <w:r>
        <w:rPr>
          <w:rFonts w:hint="eastAsia" w:ascii="宋体" w:hAnsi="宋体" w:eastAsia="宋体" w:cs="宋体"/>
          <w:b w:val="0"/>
          <w:bCs/>
          <w:sz w:val="22"/>
          <w:szCs w:val="22"/>
          <w:lang w:val="en-US" w:eastAsia="zh-CN"/>
        </w:rPr>
        <w:t>重庆市涪陵区石沱镇人民政府</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宋体" w:hAnsi="宋体" w:eastAsia="宋体" w:cs="宋体"/>
          <w:b w:val="0"/>
          <w:bCs/>
          <w:sz w:val="22"/>
          <w:szCs w:val="22"/>
          <w:lang w:val="en-US" w:eastAsia="zh-CN"/>
        </w:rPr>
      </w:pPr>
      <w:r>
        <w:rPr>
          <w:rFonts w:hint="eastAsia" w:ascii="宋体" w:hAnsi="宋体" w:eastAsia="宋体" w:cs="宋体"/>
          <w:b/>
          <w:bCs/>
          <w:sz w:val="22"/>
          <w:szCs w:val="22"/>
        </w:rPr>
        <w:t>公示时间：</w:t>
      </w:r>
      <w:r>
        <w:rPr>
          <w:rFonts w:hint="eastAsia" w:ascii="宋体" w:hAnsi="宋体" w:eastAsia="宋体" w:cs="宋体"/>
          <w:b w:val="0"/>
          <w:bCs/>
          <w:sz w:val="22"/>
          <w:szCs w:val="22"/>
          <w:lang w:val="en-US" w:eastAsia="zh-CN"/>
        </w:rPr>
        <w:t>2026年6月5日至2026年6月11日</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color w:val="000000" w:themeColor="text1"/>
          <w:sz w:val="22"/>
          <w:szCs w:val="22"/>
          <w:lang w:eastAsia="zh-CN"/>
          <w14:textFill>
            <w14:solidFill>
              <w14:schemeClr w14:val="tx1"/>
            </w14:solidFill>
          </w14:textFill>
        </w:rPr>
      </w:pPr>
      <w:r>
        <w:rPr>
          <w:rFonts w:hint="eastAsia" w:ascii="宋体" w:hAnsi="宋体" w:eastAsia="宋体" w:cs="宋体"/>
          <w:b/>
          <w:bCs/>
          <w:sz w:val="22"/>
          <w:szCs w:val="22"/>
        </w:rPr>
        <w:t>意见反馈：</w:t>
      </w:r>
      <w:r>
        <w:rPr>
          <w:rFonts w:hint="eastAsia" w:ascii="宋体" w:hAnsi="宋体" w:eastAsia="宋体" w:cs="宋体"/>
          <w:color w:val="000000" w:themeColor="text1"/>
          <w:sz w:val="22"/>
          <w:szCs w:val="22"/>
          <w14:textFill>
            <w14:solidFill>
              <w14:schemeClr w14:val="tx1"/>
            </w14:solidFill>
          </w14:textFill>
        </w:rPr>
        <w:t>1、若您需对该</w:t>
      </w:r>
      <w:r>
        <w:rPr>
          <w:rFonts w:hint="eastAsia" w:ascii="宋体" w:hAnsi="宋体" w:eastAsia="宋体" w:cs="宋体"/>
          <w:color w:val="000000" w:themeColor="text1"/>
          <w:sz w:val="22"/>
          <w:szCs w:val="22"/>
          <w:lang w:val="en-US" w:eastAsia="zh-CN"/>
          <w14:textFill>
            <w14:solidFill>
              <w14:schemeClr w14:val="tx1"/>
            </w14:solidFill>
          </w14:textFill>
        </w:rPr>
        <w:t>选址论证</w:t>
      </w:r>
      <w:r>
        <w:rPr>
          <w:rFonts w:hint="eastAsia" w:ascii="宋体" w:hAnsi="宋体" w:eastAsia="宋体" w:cs="宋体"/>
          <w:color w:val="000000" w:themeColor="text1"/>
          <w:sz w:val="22"/>
          <w:szCs w:val="22"/>
          <w14:textFill>
            <w14:solidFill>
              <w14:schemeClr w14:val="tx1"/>
            </w14:solidFill>
          </w14:textFill>
        </w:rPr>
        <w:t>方案发表意见，应在意见反馈期限届满前</w:t>
      </w:r>
      <w:r>
        <w:rPr>
          <w:rFonts w:hint="eastAsia" w:ascii="宋体" w:hAnsi="宋体" w:eastAsia="宋体" w:cs="宋体"/>
          <w:b w:val="0"/>
          <w:bCs/>
          <w:sz w:val="22"/>
          <w:szCs w:val="22"/>
          <w:lang w:val="en-US" w:eastAsia="zh-CN"/>
        </w:rPr>
        <w:t>向重庆市涪陵区石沱镇人民政府提交书面</w:t>
      </w:r>
      <w:r>
        <w:rPr>
          <w:rFonts w:hint="eastAsia" w:ascii="宋体" w:hAnsi="宋体" w:eastAsia="宋体" w:cs="宋体"/>
          <w:color w:val="000000" w:themeColor="text1"/>
          <w:sz w:val="22"/>
          <w:szCs w:val="22"/>
          <w14:textFill>
            <w14:solidFill>
              <w14:schemeClr w14:val="tx1"/>
            </w14:solidFill>
          </w14:textFill>
        </w:rPr>
        <w:t>意见，同时提供身份证明材料、联系方式。</w:t>
      </w:r>
      <w:r>
        <w:rPr>
          <w:rFonts w:hint="eastAsia" w:ascii="宋体" w:hAnsi="宋体" w:eastAsia="宋体" w:cs="宋体"/>
          <w:color w:val="000000" w:themeColor="text1"/>
          <w:sz w:val="22"/>
          <w:szCs w:val="22"/>
          <w:lang w:val="en-US" w:eastAsia="zh-CN"/>
          <w14:textFill>
            <w14:solidFill>
              <w14:schemeClr w14:val="tx1"/>
            </w14:solidFill>
          </w14:textFill>
        </w:rPr>
        <w:t xml:space="preserve">  </w:t>
      </w:r>
      <w:r>
        <w:rPr>
          <w:rFonts w:hint="eastAsia" w:ascii="宋体" w:hAnsi="宋体" w:eastAsia="宋体" w:cs="宋体"/>
          <w:color w:val="000000" w:themeColor="text1"/>
          <w:sz w:val="22"/>
          <w:szCs w:val="22"/>
          <w14:textFill>
            <w14:solidFill>
              <w14:schemeClr w14:val="tx1"/>
            </w14:solidFill>
          </w14:textFill>
        </w:rPr>
        <w:t>书面意见可当面提交也可通过邮寄方式提交。以邮寄方式提交的，请在信封正面注明“公示反馈意见”字样，提交时间以邮局收件邮戳载明的时间为准</w:t>
      </w:r>
      <w:r>
        <w:rPr>
          <w:rFonts w:hint="eastAsia" w:ascii="宋体" w:hAnsi="宋体" w:eastAsia="宋体" w:cs="宋体"/>
          <w:color w:val="000000" w:themeColor="text1"/>
          <w:sz w:val="22"/>
          <w:szCs w:val="2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auto"/>
        <w:ind w:left="1050" w:leftChars="500" w:firstLine="0" w:firstLineChars="0"/>
        <w:textAlignment w:val="auto"/>
        <w:rPr>
          <w:rFonts w:hint="eastAsia" w:ascii="宋体" w:hAnsi="宋体" w:eastAsia="宋体" w:cs="宋体"/>
          <w:b w:val="0"/>
          <w:bCs w:val="0"/>
          <w:color w:val="000000" w:themeColor="text1"/>
          <w:sz w:val="22"/>
          <w:szCs w:val="22"/>
          <w14:textFill>
            <w14:solidFill>
              <w14:schemeClr w14:val="tx1"/>
            </w14:solidFill>
          </w14:textFill>
        </w:rPr>
      </w:pPr>
      <w:r>
        <w:rPr>
          <w:rFonts w:hint="eastAsia" w:ascii="宋体" w:hAnsi="宋体" w:eastAsia="宋体" w:cs="宋体"/>
          <w:b w:val="0"/>
          <w:bCs w:val="0"/>
          <w:color w:val="000000" w:themeColor="text1"/>
          <w:sz w:val="22"/>
          <w:szCs w:val="22"/>
          <w14:textFill>
            <w14:solidFill>
              <w14:schemeClr w14:val="tx1"/>
            </w14:solidFill>
          </w14:textFill>
        </w:rPr>
        <w:t>2、若您认为是该</w:t>
      </w:r>
      <w:r>
        <w:rPr>
          <w:rFonts w:hint="eastAsia" w:ascii="宋体" w:hAnsi="宋体" w:eastAsia="宋体" w:cs="宋体"/>
          <w:color w:val="000000" w:themeColor="text1"/>
          <w:sz w:val="22"/>
          <w:szCs w:val="22"/>
          <w:lang w:val="en-US" w:eastAsia="zh-CN"/>
          <w14:textFill>
            <w14:solidFill>
              <w14:schemeClr w14:val="tx1"/>
            </w14:solidFill>
          </w14:textFill>
        </w:rPr>
        <w:t>选址论证</w:t>
      </w:r>
      <w:r>
        <w:rPr>
          <w:rFonts w:hint="eastAsia" w:ascii="宋体" w:hAnsi="宋体" w:eastAsia="宋体" w:cs="宋体"/>
          <w:b w:val="0"/>
          <w:bCs w:val="0"/>
          <w:color w:val="000000" w:themeColor="text1"/>
          <w:sz w:val="22"/>
          <w:szCs w:val="22"/>
          <w14:textFill>
            <w14:solidFill>
              <w14:schemeClr w14:val="tx1"/>
            </w14:solidFill>
          </w14:textFill>
        </w:rPr>
        <w:t>方案的利害关系人，在提交书面意见时，还应提供该</w:t>
      </w:r>
      <w:r>
        <w:rPr>
          <w:rFonts w:hint="eastAsia" w:ascii="宋体" w:hAnsi="宋体" w:eastAsia="宋体" w:cs="宋体"/>
          <w:color w:val="000000" w:themeColor="text1"/>
          <w:sz w:val="22"/>
          <w:szCs w:val="22"/>
          <w:lang w:val="en-US" w:eastAsia="zh-CN"/>
          <w14:textFill>
            <w14:solidFill>
              <w14:schemeClr w14:val="tx1"/>
            </w14:solidFill>
          </w14:textFill>
        </w:rPr>
        <w:t>选址论证</w:t>
      </w:r>
      <w:r>
        <w:rPr>
          <w:rFonts w:hint="eastAsia" w:ascii="宋体" w:hAnsi="宋体" w:eastAsia="宋体" w:cs="宋体"/>
          <w:b w:val="0"/>
          <w:bCs w:val="0"/>
          <w:color w:val="000000" w:themeColor="text1"/>
          <w:sz w:val="22"/>
          <w:szCs w:val="22"/>
          <w14:textFill>
            <w14:solidFill>
              <w14:schemeClr w14:val="tx1"/>
            </w14:solidFill>
          </w14:textFill>
        </w:rPr>
        <w:t>方案直接涉及您利益的证明材料。</w:t>
      </w:r>
    </w:p>
    <w:p>
      <w:pPr>
        <w:keepNext w:val="0"/>
        <w:keepLines w:val="0"/>
        <w:pageBreakBefore w:val="0"/>
        <w:widowControl w:val="0"/>
        <w:kinsoku/>
        <w:wordWrap/>
        <w:overflowPunct/>
        <w:topLinePunct w:val="0"/>
        <w:autoSpaceDE/>
        <w:autoSpaceDN/>
        <w:bidi w:val="0"/>
        <w:adjustRightInd/>
        <w:snapToGrid/>
        <w:spacing w:line="480" w:lineRule="auto"/>
        <w:ind w:left="1050" w:leftChars="500" w:firstLine="0" w:firstLineChars="0"/>
        <w:textAlignment w:val="auto"/>
        <w:rPr>
          <w:rFonts w:hint="eastAsia" w:ascii="宋体" w:hAnsi="宋体" w:eastAsia="宋体" w:cs="宋体"/>
          <w:b/>
          <w:bCs/>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3、意见反馈期限截止至公示期届满后</w:t>
      </w:r>
      <w:r>
        <w:rPr>
          <w:rFonts w:hint="eastAsia" w:ascii="宋体" w:hAnsi="宋体" w:eastAsia="宋体" w:cs="宋体"/>
          <w:b w:val="0"/>
          <w:bCs w:val="0"/>
          <w:color w:val="000000" w:themeColor="text1"/>
          <w:sz w:val="22"/>
          <w:szCs w:val="22"/>
          <w14:textFill>
            <w14:solidFill>
              <w14:schemeClr w14:val="tx1"/>
            </w14:solidFill>
          </w14:textFill>
        </w:rPr>
        <w:t>5个工作日内。规定期限内未反馈意见的，视为放弃权利。</w:t>
      </w:r>
    </w:p>
    <w:p>
      <w:pPr>
        <w:keepNext w:val="0"/>
        <w:keepLines w:val="0"/>
        <w:pageBreakBefore w:val="0"/>
        <w:widowControl w:val="0"/>
        <w:kinsoku/>
        <w:wordWrap/>
        <w:overflowPunct/>
        <w:topLinePunct w:val="0"/>
        <w:autoSpaceDE/>
        <w:autoSpaceDN/>
        <w:bidi w:val="0"/>
        <w:adjustRightInd/>
        <w:snapToGrid/>
        <w:spacing w:line="480" w:lineRule="auto"/>
        <w:ind w:firstLine="1100" w:firstLineChars="500"/>
        <w:textAlignment w:val="auto"/>
        <w:rPr>
          <w:rFonts w:hint="eastAsia" w:ascii="宋体" w:hAnsi="宋体" w:eastAsia="宋体" w:cs="宋体"/>
          <w:b/>
          <w:bCs/>
          <w:color w:val="000000" w:themeColor="text1"/>
          <w:sz w:val="22"/>
          <w:szCs w:val="22"/>
          <w14:textFill>
            <w14:solidFill>
              <w14:schemeClr w14:val="tx1"/>
            </w14:solidFill>
          </w14:textFill>
        </w:rPr>
      </w:pPr>
      <w:r>
        <w:rPr>
          <w:rFonts w:hint="eastAsia" w:ascii="宋体" w:hAnsi="宋体" w:eastAsia="宋体" w:cs="宋体"/>
          <w:b w:val="0"/>
          <w:bCs w:val="0"/>
          <w:color w:val="000000" w:themeColor="text1"/>
          <w:sz w:val="22"/>
          <w:szCs w:val="22"/>
          <w14:textFill>
            <w14:solidFill>
              <w14:schemeClr w14:val="tx1"/>
            </w14:solidFill>
          </w14:textFill>
        </w:rPr>
        <w:t>4、相关利害关系人可自公示期满之日起5个工作日内，向</w:t>
      </w:r>
      <w:r>
        <w:rPr>
          <w:rFonts w:hint="eastAsia" w:ascii="宋体" w:hAnsi="宋体" w:eastAsia="宋体" w:cs="宋体"/>
          <w:b w:val="0"/>
          <w:bCs/>
          <w:sz w:val="22"/>
          <w:szCs w:val="22"/>
          <w:lang w:val="en-US" w:eastAsia="zh-CN"/>
        </w:rPr>
        <w:t>重庆市涪陵区石沱镇人民政府提出</w:t>
      </w:r>
      <w:r>
        <w:rPr>
          <w:rFonts w:hint="eastAsia" w:ascii="宋体" w:hAnsi="宋体" w:eastAsia="宋体" w:cs="宋体"/>
          <w:b w:val="0"/>
          <w:bCs w:val="0"/>
          <w:color w:val="000000" w:themeColor="text1"/>
          <w:sz w:val="22"/>
          <w:szCs w:val="22"/>
          <w14:textFill>
            <w14:solidFill>
              <w14:schemeClr w14:val="tx1"/>
            </w14:solidFill>
          </w14:textFill>
        </w:rPr>
        <w:t>书面听证申请，并提交身份证明材料、直接涉及您利益的证明材料。逾期未提出的，视为自动放弃听证权利。</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b w:val="0"/>
          <w:bCs/>
          <w:sz w:val="22"/>
          <w:szCs w:val="22"/>
          <w:lang w:val="en-US" w:eastAsia="zh-CN"/>
        </w:rPr>
      </w:pPr>
      <w:r>
        <w:rPr>
          <w:rFonts w:hint="eastAsia" w:ascii="宋体" w:hAnsi="宋体" w:eastAsia="宋体" w:cs="宋体"/>
          <w:b/>
          <w:bCs/>
          <w:sz w:val="22"/>
          <w:szCs w:val="22"/>
        </w:rPr>
        <w:t>通信地址：</w:t>
      </w:r>
      <w:r>
        <w:rPr>
          <w:rFonts w:hint="eastAsia" w:ascii="宋体" w:hAnsi="宋体" w:eastAsia="宋体" w:cs="宋体"/>
          <w:b w:val="0"/>
          <w:bCs/>
          <w:sz w:val="22"/>
          <w:szCs w:val="22"/>
          <w:lang w:val="en-US" w:eastAsia="zh-CN"/>
        </w:rPr>
        <w:t>重庆市涪陵区石沱镇宛平路128号</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sz w:val="22"/>
          <w:szCs w:val="28"/>
        </w:rPr>
      </w:pPr>
      <w:r>
        <w:rPr>
          <w:rFonts w:hint="eastAsia" w:ascii="宋体" w:hAnsi="宋体" w:eastAsia="宋体" w:cs="宋体"/>
          <w:b/>
          <w:bCs/>
          <w:kern w:val="2"/>
          <w:sz w:val="22"/>
          <w:szCs w:val="22"/>
          <w:lang w:val="en-US" w:eastAsia="zh-CN" w:bidi="ar-SA"/>
        </w:rPr>
        <w:t>联系人：</w:t>
      </w:r>
      <w:r>
        <w:rPr>
          <w:rFonts w:hint="eastAsia" w:ascii="宋体" w:hAnsi="宋体" w:eastAsia="宋体" w:cs="宋体"/>
          <w:b w:val="0"/>
          <w:bCs/>
          <w:sz w:val="22"/>
          <w:szCs w:val="22"/>
          <w:lang w:val="en-US" w:eastAsia="zh-CN"/>
        </w:rPr>
        <w:t xml:space="preserve">王德  </w:t>
      </w:r>
      <w:r>
        <w:rPr>
          <w:rFonts w:hint="eastAsia"/>
          <w:sz w:val="22"/>
          <w:szCs w:val="28"/>
        </w:rPr>
        <w:t xml:space="preserve">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宋体" w:hAnsi="宋体" w:eastAsia="宋体" w:cs="宋体"/>
          <w:b w:val="0"/>
          <w:bCs/>
          <w:sz w:val="22"/>
          <w:szCs w:val="22"/>
          <w:lang w:val="en-US" w:eastAsia="zh-CN"/>
        </w:rPr>
      </w:pPr>
      <w:r>
        <w:rPr>
          <w:rFonts w:hint="eastAsia" w:ascii="宋体" w:hAnsi="宋体" w:eastAsia="宋体" w:cs="宋体"/>
          <w:b/>
          <w:bCs/>
          <w:sz w:val="22"/>
          <w:szCs w:val="22"/>
        </w:rPr>
        <w:t>联系电话：</w:t>
      </w:r>
      <w:r>
        <w:rPr>
          <w:rFonts w:hint="eastAsia" w:ascii="宋体" w:hAnsi="宋体" w:eastAsia="宋体" w:cs="宋体"/>
          <w:b w:val="0"/>
          <w:bCs/>
          <w:sz w:val="22"/>
          <w:szCs w:val="22"/>
          <w:lang w:val="en-US" w:eastAsia="zh-CN"/>
        </w:rPr>
        <w:t>15123381719</w:t>
      </w:r>
    </w:p>
    <w:sectPr>
      <w:pgSz w:w="23757" w:h="16783"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FmYWY2NmVmZmVjYTllYmFhODVkNzNkNzA0ZDk2MWEifQ=="/>
  </w:docVars>
  <w:rsids>
    <w:rsidRoot w:val="607A1FBD"/>
    <w:rsid w:val="000B6B15"/>
    <w:rsid w:val="00150289"/>
    <w:rsid w:val="002D4CF2"/>
    <w:rsid w:val="007E299C"/>
    <w:rsid w:val="00A5568F"/>
    <w:rsid w:val="042D37A6"/>
    <w:rsid w:val="04510321"/>
    <w:rsid w:val="046F0981"/>
    <w:rsid w:val="06CF5FD6"/>
    <w:rsid w:val="075A3482"/>
    <w:rsid w:val="0EB9334C"/>
    <w:rsid w:val="1051090A"/>
    <w:rsid w:val="11423827"/>
    <w:rsid w:val="13B22E39"/>
    <w:rsid w:val="1B301182"/>
    <w:rsid w:val="1D434DFB"/>
    <w:rsid w:val="1D435FBB"/>
    <w:rsid w:val="1E1D1A03"/>
    <w:rsid w:val="1E592E8A"/>
    <w:rsid w:val="1E5D5F60"/>
    <w:rsid w:val="1EA13C9D"/>
    <w:rsid w:val="1FB27E3E"/>
    <w:rsid w:val="201341DF"/>
    <w:rsid w:val="242C74F3"/>
    <w:rsid w:val="24DB3551"/>
    <w:rsid w:val="27CC1EEA"/>
    <w:rsid w:val="296D1FB9"/>
    <w:rsid w:val="318F2126"/>
    <w:rsid w:val="36057C9A"/>
    <w:rsid w:val="37736308"/>
    <w:rsid w:val="378A2609"/>
    <w:rsid w:val="3A6D3DDE"/>
    <w:rsid w:val="3E742C68"/>
    <w:rsid w:val="40787C19"/>
    <w:rsid w:val="47525B10"/>
    <w:rsid w:val="49664E9D"/>
    <w:rsid w:val="4A4A0D21"/>
    <w:rsid w:val="4A5D028E"/>
    <w:rsid w:val="50856264"/>
    <w:rsid w:val="53C22D1E"/>
    <w:rsid w:val="570621A9"/>
    <w:rsid w:val="5B554255"/>
    <w:rsid w:val="5D1309C3"/>
    <w:rsid w:val="5FE04939"/>
    <w:rsid w:val="607A1FBD"/>
    <w:rsid w:val="64C227D6"/>
    <w:rsid w:val="6AD2716D"/>
    <w:rsid w:val="6C2817F4"/>
    <w:rsid w:val="6C946338"/>
    <w:rsid w:val="70C677DB"/>
    <w:rsid w:val="743C52BC"/>
    <w:rsid w:val="743F6C3D"/>
    <w:rsid w:val="74D561B2"/>
    <w:rsid w:val="797B6C7A"/>
    <w:rsid w:val="7DAD4211"/>
    <w:rsid w:val="7DC516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unhideWhenUsed/>
    <w:qFormat/>
    <w:uiPriority w:val="35"/>
    <w:rPr>
      <w:rFonts w:ascii="Arial" w:hAnsi="Arial" w:eastAsia="黑体"/>
      <w:sz w:val="20"/>
    </w:rPr>
  </w:style>
  <w:style w:type="paragraph" w:styleId="4">
    <w:name w:val="Body Text"/>
    <w:basedOn w:val="1"/>
    <w:qFormat/>
    <w:uiPriority w:val="1"/>
    <w:pPr>
      <w:spacing w:before="239"/>
      <w:ind w:left="700"/>
    </w:pPr>
    <w:rPr>
      <w:rFonts w:ascii="仿宋" w:hAnsi="仿宋" w:eastAsia="仿宋" w:cs="仿宋"/>
      <w:sz w:val="30"/>
      <w:szCs w:val="30"/>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正文缩2"/>
    <w:qFormat/>
    <w:uiPriority w:val="0"/>
    <w:pPr>
      <w:spacing w:line="360" w:lineRule="auto"/>
      <w:ind w:firstLine="240" w:firstLineChars="100"/>
    </w:pPr>
    <w:rPr>
      <w:rFonts w:ascii="Times New Roman" w:hAnsi="Times New Roman" w:eastAsia="宋体" w:cs="Times New Roman"/>
      <w:color w:val="FF0000"/>
      <w:sz w:val="24"/>
      <w:szCs w:val="24"/>
      <w:lang w:val="en-US" w:eastAsia="zh-CN" w:bidi="ar-SA"/>
    </w:rPr>
  </w:style>
  <w:style w:type="character" w:customStyle="1" w:styleId="11">
    <w:name w:val="页眉 Char"/>
    <w:basedOn w:val="9"/>
    <w:link w:val="6"/>
    <w:qFormat/>
    <w:uiPriority w:val="0"/>
    <w:rPr>
      <w:rFonts w:asciiTheme="minorHAnsi" w:hAnsiTheme="minorHAnsi" w:eastAsiaTheme="minorEastAsia" w:cstheme="minorBidi"/>
      <w:kern w:val="2"/>
      <w:sz w:val="18"/>
      <w:szCs w:val="18"/>
    </w:rPr>
  </w:style>
  <w:style w:type="character" w:customStyle="1" w:styleId="12">
    <w:name w:val="页脚 Char"/>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1012</Words>
  <Characters>1084</Characters>
  <Lines>13</Lines>
  <Paragraphs>3</Paragraphs>
  <TotalTime>2</TotalTime>
  <ScaleCrop>false</ScaleCrop>
  <LinksUpToDate>false</LinksUpToDate>
  <CharactersWithSpaces>1098</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2021-03-04T03:07:00Z</dcterms:created>
  <dc:creator>。</dc:creator>
  <cp:lastModifiedBy>Administrator</cp:lastModifiedBy>
  <dcterms:modified xsi:type="dcterms:W3CDTF">2026-07-02T01:50:30Z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3303519DE6384464BC7C3B716E0D8889_13</vt:lpwstr>
  </property>
  <property fmtid="{D5CDD505-2E9C-101B-9397-08002B2CF9AE}" pid="4" name="KSOTemplateDocerSaveRecord">
    <vt:lpwstr>eyJoZGlkIjoiZDNjNGM1NmZmZTY3NmUxMjY1ZjJkZDdhZGQ1ODRiMGIiLCJ1c2VySWQiOiIzNDIwMTA2NDUifQ==</vt:lpwstr>
  </property>
</Properties>
</file>