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</w:p>
    <w:p>
      <w:pPr>
        <w:spacing w:line="700" w:lineRule="exact"/>
        <w:jc w:val="center"/>
        <w:rPr>
          <w:rFonts w:hint="eastAsia" w:ascii="方正小标宋_GBK" w:hAnsi="宋体" w:eastAsia="方正小标宋_GBK" w:cs="@方正仿宋_GBK"/>
          <w:sz w:val="44"/>
          <w:szCs w:val="44"/>
          <w:lang w:eastAsia="zh-CN"/>
        </w:rPr>
      </w:pPr>
      <w:r>
        <w:rPr>
          <w:rFonts w:hint="eastAsia" w:ascii="方正小标宋_GBK" w:hAnsi="宋体" w:eastAsia="方正小标宋_GBK" w:cs="@方正仿宋_GBK"/>
          <w:sz w:val="44"/>
          <w:szCs w:val="44"/>
          <w:lang w:eastAsia="zh-CN"/>
        </w:rPr>
        <w:t>重庆市涪陵区同乐镇人民政府</w:t>
      </w:r>
    </w:p>
    <w:p>
      <w:pPr>
        <w:spacing w:line="700" w:lineRule="exact"/>
        <w:jc w:val="center"/>
        <w:rPr>
          <w:rFonts w:ascii="方正小标宋_GBK" w:hAnsi="宋体" w:eastAsia="方正小标宋_GBK" w:cs="@方正仿宋_GBK"/>
          <w:sz w:val="44"/>
          <w:szCs w:val="44"/>
        </w:rPr>
      </w:pPr>
      <w:r>
        <w:rPr>
          <w:rFonts w:hint="eastAsia" w:ascii="方正小标宋_GBK" w:hAnsi="宋体" w:eastAsia="方正小标宋_GBK" w:cs="@方正仿宋_GBK"/>
          <w:sz w:val="44"/>
          <w:szCs w:val="44"/>
        </w:rPr>
        <w:t>关于</w:t>
      </w:r>
      <w:r>
        <w:rPr>
          <w:rFonts w:ascii="方正小标宋_GBK" w:hAnsi="宋体" w:eastAsia="方正小标宋_GBK" w:cs="@方正仿宋_GBK"/>
          <w:sz w:val="44"/>
          <w:szCs w:val="44"/>
        </w:rPr>
        <w:t>202</w:t>
      </w:r>
      <w:r>
        <w:rPr>
          <w:rFonts w:hint="eastAsia" w:ascii="方正小标宋_GBK" w:hAnsi="宋体" w:eastAsia="方正小标宋_GBK" w:cs="@方正仿宋_GBK"/>
          <w:sz w:val="44"/>
          <w:szCs w:val="44"/>
          <w:lang w:val="en-US" w:eastAsia="zh-CN"/>
        </w:rPr>
        <w:t>1</w:t>
      </w:r>
      <w:r>
        <w:rPr>
          <w:rFonts w:hint="eastAsia" w:ascii="方正小标宋_GBK" w:hAnsi="宋体" w:eastAsia="方正小标宋_GBK" w:cs="@方正仿宋_GBK"/>
          <w:sz w:val="44"/>
          <w:szCs w:val="44"/>
        </w:rPr>
        <w:t>年本级决算的报告</w:t>
      </w:r>
    </w:p>
    <w:p>
      <w:pPr>
        <w:rPr>
          <w:rFonts w:ascii="方正楷体_GBK" w:hAnsi="宋体" w:eastAsia="方正楷体_GBK" w:cs="@方正仿宋_GBK"/>
          <w:b/>
          <w:spacing w:val="-8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黑体_GBK" w:cs="@方正仿宋_GBK"/>
          <w:sz w:val="32"/>
        </w:rPr>
      </w:pPr>
      <w:r>
        <w:rPr>
          <w:rFonts w:hint="eastAsia" w:ascii="Times New Roman" w:hAnsi="Times New Roman" w:eastAsia="方正黑体_GBK" w:cs="@方正仿宋_GBK"/>
          <w:sz w:val="32"/>
        </w:rPr>
        <w:t>一、全</w:t>
      </w:r>
      <w:r>
        <w:rPr>
          <w:rFonts w:hint="eastAsia" w:ascii="Times New Roman" w:hAnsi="Times New Roman" w:eastAsia="方正黑体_GBK" w:cs="@方正仿宋_GBK"/>
          <w:sz w:val="32"/>
          <w:lang w:eastAsia="zh-CN"/>
        </w:rPr>
        <w:t>镇</w:t>
      </w:r>
      <w:r>
        <w:rPr>
          <w:rFonts w:hint="eastAsia" w:ascii="Times New Roman" w:hAnsi="Times New Roman" w:eastAsia="方正黑体_GBK" w:cs="@方正仿宋_GBK"/>
          <w:sz w:val="32"/>
        </w:rPr>
        <w:t>收支决算情况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32"/>
        </w:rPr>
        <w:t>（一）一般公共预算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全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一般公共预算收入完成</w:t>
      </w:r>
      <w:r>
        <w:rPr>
          <w:rFonts w:hint="eastAsia" w:ascii="Times New Roman" w:hAnsi="Times New Roman"/>
          <w:sz w:val="32"/>
          <w:lang w:val="en-US" w:eastAsia="zh-CN"/>
        </w:rPr>
        <w:t>1627</w:t>
      </w:r>
      <w:r>
        <w:rPr>
          <w:rFonts w:hint="eastAsia" w:ascii="Times New Roman" w:hAnsi="Times New Roman"/>
          <w:sz w:val="32"/>
        </w:rPr>
        <w:t>万元，</w:t>
      </w:r>
      <w:r>
        <w:rPr>
          <w:rFonts w:hint="eastAsia" w:ascii="Times New Roman" w:hAnsi="Times New Roman"/>
          <w:sz w:val="32"/>
          <w:lang w:eastAsia="zh-CN"/>
        </w:rPr>
        <w:t>下降</w:t>
      </w:r>
      <w:r>
        <w:rPr>
          <w:rFonts w:hint="eastAsia" w:ascii="Times New Roman" w:hAnsi="Times New Roman"/>
          <w:sz w:val="32"/>
          <w:lang w:val="en-US" w:eastAsia="zh-CN"/>
        </w:rPr>
        <w:t>5.7</w:t>
      </w:r>
      <w:r>
        <w:rPr>
          <w:rFonts w:hint="eastAsia" w:ascii="Times New Roman" w:hAnsi="Times New Roman"/>
          <w:sz w:val="32"/>
        </w:rPr>
        <w:t>%，完成预算的</w:t>
      </w:r>
      <w:r>
        <w:rPr>
          <w:rFonts w:hint="eastAsia" w:ascii="Times New Roman" w:hAnsi="Times New Roman"/>
          <w:sz w:val="32"/>
          <w:lang w:val="en-US" w:eastAsia="zh-CN"/>
        </w:rPr>
        <w:t>91.4</w:t>
      </w:r>
      <w:r>
        <w:rPr>
          <w:rFonts w:hint="eastAsia" w:ascii="Times New Roman" w:hAnsi="Times New Roman"/>
          <w:sz w:val="32"/>
        </w:rPr>
        <w:t>%。其中税收完成</w:t>
      </w:r>
      <w:r>
        <w:rPr>
          <w:rFonts w:hint="eastAsia" w:ascii="Times New Roman" w:hAnsi="Times New Roman"/>
          <w:sz w:val="32"/>
          <w:lang w:val="en-US" w:eastAsia="zh-CN"/>
        </w:rPr>
        <w:t>1602</w:t>
      </w:r>
      <w:r>
        <w:rPr>
          <w:rFonts w:hint="eastAsia" w:ascii="Times New Roman" w:hAnsi="Times New Roman"/>
          <w:sz w:val="32"/>
        </w:rPr>
        <w:t>万元，</w:t>
      </w:r>
      <w:r>
        <w:rPr>
          <w:rFonts w:hint="eastAsia" w:ascii="Times New Roman" w:hAnsi="Times New Roman"/>
          <w:sz w:val="32"/>
          <w:lang w:eastAsia="zh-CN"/>
        </w:rPr>
        <w:t>下降</w:t>
      </w:r>
      <w:r>
        <w:rPr>
          <w:rFonts w:hint="eastAsia" w:ascii="Times New Roman" w:hAnsi="Times New Roman"/>
          <w:sz w:val="32"/>
          <w:lang w:val="en-US" w:eastAsia="zh-CN"/>
        </w:rPr>
        <w:t>5.4</w:t>
      </w:r>
      <w:r>
        <w:rPr>
          <w:rFonts w:hint="eastAsia" w:ascii="Times New Roman" w:hAnsi="Times New Roman"/>
          <w:sz w:val="32"/>
        </w:rPr>
        <w:t>%，完成预算的</w:t>
      </w:r>
      <w:r>
        <w:rPr>
          <w:rFonts w:hint="eastAsia" w:ascii="Times New Roman" w:hAnsi="Times New Roman"/>
          <w:sz w:val="32"/>
          <w:lang w:val="en-US" w:eastAsia="zh-CN"/>
        </w:rPr>
        <w:t>90.2</w:t>
      </w:r>
      <w:r>
        <w:rPr>
          <w:rFonts w:hint="eastAsia" w:ascii="Times New Roman" w:hAnsi="Times New Roman"/>
          <w:sz w:val="32"/>
        </w:rPr>
        <w:t>%</w:t>
      </w:r>
      <w:r>
        <w:rPr>
          <w:rFonts w:hint="eastAsia" w:ascii="Times New Roman" w:hAnsi="Times New Roman"/>
          <w:sz w:val="32"/>
          <w:lang w:eastAsia="zh-CN"/>
        </w:rPr>
        <w:t>。</w:t>
      </w:r>
      <w:r>
        <w:rPr>
          <w:rFonts w:hint="eastAsia" w:ascii="Times New Roman" w:hAnsi="Times New Roman"/>
          <w:sz w:val="32"/>
        </w:rPr>
        <w:t>全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一般公共预算收入加上上级转移支付收入</w:t>
      </w:r>
      <w:r>
        <w:rPr>
          <w:rFonts w:hint="eastAsia" w:ascii="Times New Roman" w:hAnsi="Times New Roman"/>
          <w:sz w:val="32"/>
          <w:lang w:val="en-US" w:eastAsia="zh-CN"/>
        </w:rPr>
        <w:t>1731</w:t>
      </w:r>
      <w:r>
        <w:rPr>
          <w:rFonts w:hint="eastAsia" w:ascii="Times New Roman" w:hAnsi="Times New Roman"/>
          <w:sz w:val="32"/>
        </w:rPr>
        <w:t>万元后，收入总计</w:t>
      </w:r>
      <w:r>
        <w:rPr>
          <w:rFonts w:hint="eastAsia" w:ascii="Times New Roman" w:hAnsi="Times New Roman"/>
          <w:sz w:val="32"/>
          <w:lang w:val="en-US" w:eastAsia="zh-CN"/>
        </w:rPr>
        <w:t>3358</w:t>
      </w:r>
      <w:r>
        <w:rPr>
          <w:rFonts w:hint="eastAsia" w:ascii="Times New Roman" w:hAnsi="Times New Roman"/>
          <w:sz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 w:cs="@宋体"/>
          <w:sz w:val="32"/>
        </w:rPr>
      </w:pPr>
      <w:r>
        <w:rPr>
          <w:rFonts w:hint="eastAsia" w:ascii="Times New Roman" w:hAnsi="Times New Roman"/>
          <w:sz w:val="32"/>
        </w:rPr>
        <w:t>全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一般公共预算支出</w:t>
      </w:r>
      <w:r>
        <w:rPr>
          <w:rFonts w:hint="eastAsia" w:ascii="Times New Roman" w:hAnsi="Times New Roman"/>
          <w:sz w:val="32"/>
          <w:lang w:val="en-US" w:eastAsia="zh-CN"/>
        </w:rPr>
        <w:t>3226</w:t>
      </w:r>
      <w:r>
        <w:rPr>
          <w:rFonts w:hint="eastAsia" w:ascii="Times New Roman" w:hAnsi="Times New Roman"/>
          <w:sz w:val="32"/>
        </w:rPr>
        <w:t>万元，</w:t>
      </w:r>
      <w:r>
        <w:rPr>
          <w:rFonts w:hint="eastAsia" w:ascii="Times New Roman" w:hAnsi="Times New Roman"/>
          <w:sz w:val="32"/>
          <w:lang w:eastAsia="zh-CN"/>
        </w:rPr>
        <w:t>下降</w:t>
      </w:r>
      <w:r>
        <w:rPr>
          <w:rFonts w:hint="eastAsia" w:ascii="Times New Roman" w:hAnsi="Times New Roman"/>
          <w:sz w:val="32"/>
          <w:lang w:val="en-US" w:eastAsia="zh-CN"/>
        </w:rPr>
        <w:t>1.1</w:t>
      </w:r>
      <w:r>
        <w:rPr>
          <w:rFonts w:ascii="Times New Roman" w:hAnsi="Times New Roman"/>
          <w:sz w:val="32"/>
        </w:rPr>
        <w:t>%</w:t>
      </w:r>
      <w:r>
        <w:rPr>
          <w:rFonts w:hint="eastAsia" w:ascii="Times New Roman" w:hAnsi="Times New Roman"/>
          <w:sz w:val="32"/>
        </w:rPr>
        <w:t>，完成调整预算的</w:t>
      </w:r>
      <w:r>
        <w:rPr>
          <w:rFonts w:hint="eastAsia" w:ascii="Times New Roman" w:hAnsi="Times New Roman"/>
          <w:sz w:val="32"/>
          <w:lang w:val="en-US" w:eastAsia="zh-CN"/>
        </w:rPr>
        <w:t>95.3</w:t>
      </w:r>
      <w:r>
        <w:rPr>
          <w:rFonts w:ascii="Times New Roman" w:hAnsi="Times New Roman"/>
          <w:sz w:val="32"/>
        </w:rPr>
        <w:t>%</w:t>
      </w:r>
      <w:r>
        <w:rPr>
          <w:rFonts w:hint="eastAsia" w:ascii="Times New Roman" w:hAnsi="Times New Roman"/>
          <w:sz w:val="32"/>
        </w:rPr>
        <w:t>，加上上解上级支出</w:t>
      </w:r>
      <w:r>
        <w:rPr>
          <w:rFonts w:hint="eastAsia" w:ascii="Times New Roman" w:hAnsi="Times New Roman"/>
          <w:sz w:val="32"/>
          <w:lang w:val="en-US" w:eastAsia="zh-CN"/>
        </w:rPr>
        <w:t>132</w:t>
      </w:r>
      <w:r>
        <w:rPr>
          <w:rFonts w:hint="eastAsia" w:ascii="Times New Roman" w:hAnsi="Times New Roman"/>
          <w:sz w:val="32"/>
        </w:rPr>
        <w:t>万元</w:t>
      </w:r>
      <w:r>
        <w:rPr>
          <w:rFonts w:hint="eastAsia" w:ascii="Times New Roman" w:hAnsi="Times New Roman" w:cs="@宋体"/>
          <w:sz w:val="32"/>
        </w:rPr>
        <w:t>后，支出总计</w:t>
      </w:r>
      <w:r>
        <w:rPr>
          <w:rFonts w:hint="eastAsia" w:ascii="Times New Roman" w:hAnsi="Times New Roman" w:cs="@宋体"/>
          <w:sz w:val="32"/>
          <w:lang w:val="en-US" w:eastAsia="zh-CN"/>
        </w:rPr>
        <w:t>3358</w:t>
      </w:r>
      <w:r>
        <w:rPr>
          <w:rFonts w:hint="eastAsia" w:ascii="Times New Roman" w:hAnsi="Times New Roman" w:cs="@宋体"/>
          <w:sz w:val="32"/>
        </w:rPr>
        <w:t>万元。</w:t>
      </w:r>
    </w:p>
    <w:p>
      <w:pPr>
        <w:spacing w:line="560" w:lineRule="exact"/>
        <w:rPr>
          <w:rFonts w:ascii="Times New Roman" w:hAnsi="Times New Roman" w:eastAsia="方正楷体_GBK"/>
          <w:bCs/>
          <w:sz w:val="32"/>
        </w:rPr>
      </w:pPr>
      <w:r>
        <w:rPr>
          <w:rFonts w:ascii="Times New Roman" w:hAnsi="Times New Roman" w:eastAsia="方正楷体_GBK" w:cs="@宋体"/>
          <w:sz w:val="32"/>
        </w:rPr>
        <w:t xml:space="preserve">    </w:t>
      </w:r>
      <w:r>
        <w:rPr>
          <w:rFonts w:hint="eastAsia" w:ascii="Times New Roman" w:hAnsi="Times New Roman" w:eastAsia="方正楷体_GBK"/>
          <w:bCs/>
          <w:sz w:val="32"/>
        </w:rPr>
        <w:t>（二）政府性基金预算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全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政府性基金预算收入完成</w:t>
      </w:r>
      <w:r>
        <w:rPr>
          <w:rFonts w:hint="eastAsia" w:ascii="Times New Roman" w:hAnsi="Times New Roman"/>
          <w:sz w:val="32"/>
          <w:lang w:val="en-US" w:eastAsia="zh-CN"/>
        </w:rPr>
        <w:t>0</w:t>
      </w:r>
      <w:r>
        <w:rPr>
          <w:rFonts w:hint="eastAsia" w:ascii="Times New Roman" w:hAnsi="Times New Roman"/>
          <w:sz w:val="32"/>
        </w:rPr>
        <w:t>万元。加上上级转移支付收入</w:t>
      </w:r>
      <w:r>
        <w:rPr>
          <w:rFonts w:hint="eastAsia" w:ascii="Times New Roman" w:hAnsi="Times New Roman"/>
          <w:sz w:val="32"/>
          <w:lang w:val="en-US" w:eastAsia="zh-CN"/>
        </w:rPr>
        <w:t>10</w:t>
      </w:r>
      <w:r>
        <w:rPr>
          <w:rFonts w:hint="eastAsia" w:ascii="Times New Roman" w:hAnsi="Times New Roman"/>
          <w:sz w:val="32"/>
        </w:rPr>
        <w:t>万元后，收入总计</w:t>
      </w:r>
      <w:r>
        <w:rPr>
          <w:rFonts w:hint="eastAsia" w:ascii="Times New Roman" w:hAnsi="Times New Roman"/>
          <w:sz w:val="32"/>
          <w:lang w:val="en-US" w:eastAsia="zh-CN"/>
        </w:rPr>
        <w:t>10</w:t>
      </w:r>
      <w:r>
        <w:rPr>
          <w:rFonts w:hint="eastAsia" w:ascii="Times New Roman" w:hAnsi="Times New Roman"/>
          <w:sz w:val="32"/>
        </w:rPr>
        <w:t>万元。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</w:rPr>
      </w:pPr>
      <w:r>
        <w:rPr>
          <w:rFonts w:hint="eastAsia" w:ascii="Times New Roman" w:hAnsi="Times New Roman"/>
          <w:sz w:val="32"/>
        </w:rPr>
        <w:t>全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政府性基金预算支出</w:t>
      </w:r>
      <w:r>
        <w:rPr>
          <w:rFonts w:hint="eastAsia" w:ascii="Times New Roman" w:hAnsi="Times New Roman"/>
          <w:sz w:val="32"/>
          <w:lang w:val="en-US" w:eastAsia="zh-CN"/>
        </w:rPr>
        <w:t>10</w:t>
      </w:r>
      <w:r>
        <w:rPr>
          <w:rFonts w:hint="eastAsia" w:ascii="Times New Roman" w:hAnsi="Times New Roman"/>
          <w:sz w:val="32"/>
        </w:rPr>
        <w:t>万元，</w:t>
      </w:r>
      <w:r>
        <w:rPr>
          <w:rFonts w:hint="eastAsia" w:ascii="Times New Roman" w:hAnsi="Times New Roman"/>
          <w:sz w:val="32"/>
          <w:lang w:eastAsia="zh-CN"/>
        </w:rPr>
        <w:t>下降</w:t>
      </w:r>
      <w:r>
        <w:rPr>
          <w:rFonts w:hint="eastAsia" w:ascii="Times New Roman" w:hAnsi="Times New Roman"/>
          <w:sz w:val="32"/>
          <w:lang w:val="en-US" w:eastAsia="zh-CN"/>
        </w:rPr>
        <w:t>85.3</w:t>
      </w:r>
      <w:r>
        <w:rPr>
          <w:rFonts w:ascii="Times New Roman" w:hAnsi="Times New Roman"/>
          <w:sz w:val="32"/>
        </w:rPr>
        <w:t>%</w:t>
      </w:r>
      <w:r>
        <w:rPr>
          <w:rFonts w:hint="eastAsia" w:ascii="Times New Roman" w:hAnsi="Times New Roman"/>
          <w:sz w:val="32"/>
        </w:rPr>
        <w:t>，完成调整预算的</w:t>
      </w:r>
      <w:r>
        <w:rPr>
          <w:rFonts w:hint="eastAsia" w:ascii="Times New Roman" w:hAnsi="Times New Roman"/>
          <w:sz w:val="32"/>
          <w:lang w:val="en-US" w:eastAsia="zh-CN"/>
        </w:rPr>
        <w:t>100</w:t>
      </w:r>
      <w:r>
        <w:rPr>
          <w:rFonts w:ascii="Times New Roman" w:hAnsi="Times New Roman"/>
          <w:sz w:val="32"/>
        </w:rPr>
        <w:t>%</w:t>
      </w:r>
      <w:r>
        <w:rPr>
          <w:rFonts w:hint="eastAsia" w:ascii="Times New Roman" w:hAnsi="Times New Roman"/>
          <w:sz w:val="32"/>
        </w:rPr>
        <w:t>，加上</w:t>
      </w:r>
      <w:r>
        <w:rPr>
          <w:rFonts w:hint="eastAsia" w:ascii="Times New Roman" w:hAnsi="Times New Roman" w:cs="@宋体"/>
          <w:sz w:val="32"/>
        </w:rPr>
        <w:t>结转下年项目支出</w:t>
      </w:r>
      <w:r>
        <w:rPr>
          <w:rFonts w:hint="eastAsia" w:ascii="Times New Roman" w:hAnsi="Times New Roman" w:cs="@宋体"/>
          <w:sz w:val="32"/>
          <w:lang w:val="en-US" w:eastAsia="zh-CN"/>
        </w:rPr>
        <w:t>0</w:t>
      </w:r>
      <w:r>
        <w:rPr>
          <w:rFonts w:hint="eastAsia" w:ascii="Times New Roman" w:hAnsi="Times New Roman" w:cs="@宋体"/>
          <w:sz w:val="32"/>
        </w:rPr>
        <w:t>万元后</w:t>
      </w:r>
      <w:r>
        <w:rPr>
          <w:rFonts w:hint="eastAsia" w:ascii="Times New Roman" w:hAnsi="Times New Roman"/>
          <w:sz w:val="32"/>
        </w:rPr>
        <w:t>，支出总计</w:t>
      </w:r>
      <w:r>
        <w:rPr>
          <w:rFonts w:hint="eastAsia" w:ascii="Times New Roman" w:hAnsi="Times New Roman"/>
          <w:sz w:val="32"/>
          <w:lang w:val="en-US" w:eastAsia="zh-CN"/>
        </w:rPr>
        <w:t>10</w:t>
      </w:r>
      <w:r>
        <w:rPr>
          <w:rFonts w:hint="eastAsia" w:ascii="Times New Roman" w:hAnsi="Times New Roman"/>
          <w:sz w:val="32"/>
        </w:rPr>
        <w:t>万元。</w:t>
      </w:r>
    </w:p>
    <w:p>
      <w:pPr>
        <w:spacing w:line="560" w:lineRule="exact"/>
        <w:ind w:firstLine="627" w:firstLineChars="196"/>
        <w:rPr>
          <w:rFonts w:ascii="Times New Roman" w:hAnsi="Times New Roman" w:eastAsia="方正黑体_GBK" w:cs="@方正仿宋_GBK"/>
          <w:sz w:val="32"/>
        </w:rPr>
      </w:pPr>
      <w:r>
        <w:rPr>
          <w:rFonts w:hint="eastAsia" w:ascii="Times New Roman" w:hAnsi="Times New Roman" w:eastAsia="方正黑体_GBK" w:cs="@方正仿宋_GBK"/>
          <w:sz w:val="32"/>
          <w:lang w:eastAsia="zh-CN"/>
        </w:rPr>
        <w:t>二</w:t>
      </w:r>
      <w:r>
        <w:rPr>
          <w:rFonts w:hint="eastAsia" w:ascii="Times New Roman" w:hAnsi="Times New Roman" w:eastAsia="方正黑体_GBK" w:cs="@方正仿宋_GBK"/>
          <w:sz w:val="32"/>
        </w:rPr>
        <w:t>、重点报告事项</w:t>
      </w:r>
    </w:p>
    <w:p>
      <w:pPr>
        <w:spacing w:line="560" w:lineRule="exact"/>
        <w:ind w:firstLine="624" w:firstLineChars="195"/>
        <w:rPr>
          <w:rFonts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32"/>
        </w:rPr>
        <w:t>（一）转移支付情况</w:t>
      </w:r>
    </w:p>
    <w:p>
      <w:pPr>
        <w:spacing w:line="560" w:lineRule="exact"/>
        <w:ind w:firstLine="624" w:firstLineChars="195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</w:t>
      </w:r>
      <w:r>
        <w:rPr>
          <w:rFonts w:hint="eastAsia" w:ascii="Times New Roman" w:hAnsi="Times New Roman"/>
          <w:sz w:val="32"/>
          <w:lang w:val="en-US" w:eastAsia="zh-CN"/>
        </w:rPr>
        <w:t>1</w:t>
      </w:r>
      <w:r>
        <w:rPr>
          <w:rFonts w:hint="eastAsia" w:ascii="Times New Roman" w:hAnsi="Times New Roman"/>
          <w:sz w:val="32"/>
        </w:rPr>
        <w:t>年上级共计下达我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一般公共预算转移支付资金</w:t>
      </w:r>
      <w:r>
        <w:rPr>
          <w:rFonts w:hint="eastAsia" w:ascii="Times New Roman" w:hAnsi="Times New Roman"/>
          <w:sz w:val="32"/>
          <w:lang w:val="en-US" w:eastAsia="zh-CN"/>
        </w:rPr>
        <w:t>1704</w:t>
      </w:r>
      <w:r>
        <w:rPr>
          <w:rFonts w:hint="eastAsia" w:ascii="Times New Roman" w:hAnsi="Times New Roman"/>
          <w:sz w:val="32"/>
        </w:rPr>
        <w:t>万元，其中一般性转移支付收入</w:t>
      </w:r>
      <w:r>
        <w:rPr>
          <w:rFonts w:hint="eastAsia" w:ascii="Times New Roman" w:hAnsi="Times New Roman"/>
          <w:sz w:val="32"/>
          <w:lang w:val="en-US" w:eastAsia="zh-CN"/>
        </w:rPr>
        <w:t>1526</w:t>
      </w:r>
      <w:r>
        <w:rPr>
          <w:rFonts w:hint="eastAsia" w:ascii="Times New Roman" w:hAnsi="Times New Roman"/>
          <w:sz w:val="32"/>
        </w:rPr>
        <w:t>万元，主要是</w:t>
      </w:r>
      <w:r>
        <w:rPr>
          <w:rFonts w:hint="eastAsia" w:ascii="Times New Roman" w:hAnsi="Times New Roman"/>
          <w:sz w:val="32"/>
          <w:lang w:eastAsia="zh-CN"/>
        </w:rPr>
        <w:t>体制补助</w:t>
      </w:r>
      <w:r>
        <w:rPr>
          <w:rFonts w:hint="eastAsia" w:ascii="Times New Roman" w:hAnsi="Times New Roman"/>
          <w:sz w:val="32"/>
        </w:rPr>
        <w:t>收入、</w:t>
      </w:r>
      <w:r>
        <w:rPr>
          <w:rFonts w:hint="eastAsia" w:ascii="Times New Roman" w:hAnsi="Times New Roman"/>
          <w:sz w:val="32"/>
          <w:lang w:eastAsia="zh-CN"/>
        </w:rPr>
        <w:t>结算补助</w:t>
      </w:r>
      <w:r>
        <w:rPr>
          <w:rFonts w:hint="eastAsia" w:ascii="Times New Roman" w:hAnsi="Times New Roman"/>
          <w:sz w:val="32"/>
        </w:rPr>
        <w:t>收入等方面；专项转移支付收入</w:t>
      </w:r>
      <w:r>
        <w:rPr>
          <w:rFonts w:hint="eastAsia" w:ascii="Times New Roman" w:hAnsi="Times New Roman"/>
          <w:sz w:val="32"/>
          <w:lang w:val="en-US" w:eastAsia="zh-CN"/>
        </w:rPr>
        <w:t>178</w:t>
      </w:r>
      <w:r>
        <w:rPr>
          <w:rFonts w:hint="eastAsia" w:ascii="Times New Roman" w:hAnsi="Times New Roman"/>
          <w:sz w:val="32"/>
        </w:rPr>
        <w:t>万元，主要是</w:t>
      </w:r>
      <w:r>
        <w:rPr>
          <w:rFonts w:hint="eastAsia" w:ascii="Times New Roman" w:hAnsi="Times New Roman"/>
          <w:sz w:val="32"/>
          <w:lang w:eastAsia="zh-CN"/>
        </w:rPr>
        <w:t>一般公共服务、社会保障和就业</w:t>
      </w:r>
      <w:r>
        <w:rPr>
          <w:rFonts w:hint="eastAsia" w:ascii="Times New Roman" w:hAnsi="Times New Roman"/>
          <w:sz w:val="32"/>
          <w:lang w:val="en-US" w:eastAsia="zh-CN"/>
        </w:rPr>
        <w:t>、</w:t>
      </w:r>
      <w:r>
        <w:rPr>
          <w:rFonts w:hint="eastAsia" w:ascii="Times New Roman" w:hAnsi="Times New Roman"/>
          <w:sz w:val="32"/>
        </w:rPr>
        <w:t>节能环保、农林水等方面。共计下达我</w:t>
      </w:r>
      <w:r>
        <w:rPr>
          <w:rFonts w:hint="eastAsia" w:ascii="Times New Roman" w:hAnsi="Times New Roman"/>
          <w:sz w:val="32"/>
          <w:lang w:eastAsia="zh-CN"/>
        </w:rPr>
        <w:t>镇</w:t>
      </w:r>
      <w:r>
        <w:rPr>
          <w:rFonts w:hint="eastAsia" w:ascii="Times New Roman" w:hAnsi="Times New Roman"/>
          <w:sz w:val="32"/>
        </w:rPr>
        <w:t>政府性基金预算转移支付资金</w:t>
      </w:r>
      <w:r>
        <w:rPr>
          <w:rFonts w:hint="eastAsia" w:ascii="Times New Roman" w:hAnsi="Times New Roman"/>
          <w:sz w:val="32"/>
          <w:lang w:val="en-US" w:eastAsia="zh-CN"/>
        </w:rPr>
        <w:t>10</w:t>
      </w:r>
      <w:r>
        <w:rPr>
          <w:rFonts w:hint="eastAsia" w:ascii="Times New Roman" w:hAnsi="Times New Roman"/>
          <w:sz w:val="32"/>
        </w:rPr>
        <w:t>万元，主要是</w:t>
      </w:r>
      <w:r>
        <w:rPr>
          <w:rFonts w:hint="eastAsia" w:ascii="Times New Roman" w:hAnsi="Times New Roman"/>
          <w:sz w:val="32"/>
          <w:lang w:eastAsia="zh-CN"/>
        </w:rPr>
        <w:t>农林水</w:t>
      </w:r>
      <w:r>
        <w:rPr>
          <w:rFonts w:hint="eastAsia" w:ascii="Times New Roman" w:hAnsi="Times New Roman"/>
          <w:sz w:val="32"/>
          <w:lang w:val="en-US" w:eastAsia="zh-CN"/>
        </w:rPr>
        <w:t>10</w:t>
      </w:r>
      <w:r>
        <w:rPr>
          <w:rFonts w:hint="eastAsia" w:ascii="Times New Roman" w:hAnsi="Times New Roman"/>
          <w:sz w:val="32"/>
        </w:rPr>
        <w:t>万元。</w:t>
      </w:r>
    </w:p>
    <w:p>
      <w:pPr>
        <w:spacing w:line="560" w:lineRule="exact"/>
        <w:ind w:firstLine="480" w:firstLineChars="150"/>
        <w:rPr>
          <w:rFonts w:ascii="Times New Roman" w:hAnsi="Times New Roman" w:eastAsia="方正楷体_GBK" w:cs="@宋体"/>
          <w:sz w:val="32"/>
        </w:rPr>
      </w:pPr>
      <w:r>
        <w:rPr>
          <w:rFonts w:hint="eastAsia" w:ascii="Times New Roman" w:hAnsi="Times New Roman" w:eastAsia="方正楷体_GBK" w:cs="@宋体"/>
          <w:sz w:val="32"/>
        </w:rPr>
        <w:t>（二）预算绩效管理情况</w:t>
      </w:r>
    </w:p>
    <w:p>
      <w:pPr>
        <w:spacing w:line="560" w:lineRule="exact"/>
        <w:ind w:firstLine="640" w:firstLineChars="200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202</w:t>
      </w:r>
      <w:r>
        <w:rPr>
          <w:rFonts w:hint="eastAsia" w:ascii="Times New Roman" w:hAnsi="Times New Roman"/>
          <w:sz w:val="32"/>
          <w:lang w:val="en-US" w:eastAsia="zh-CN"/>
        </w:rPr>
        <w:t>1</w:t>
      </w:r>
      <w:r>
        <w:rPr>
          <w:rFonts w:hint="eastAsia" w:ascii="Times New Roman" w:hAnsi="Times New Roman"/>
          <w:sz w:val="32"/>
        </w:rPr>
        <w:t>年严格落实区委区政府《关于认真贯彻落实</w:t>
      </w:r>
      <w:r>
        <w:rPr>
          <w:rFonts w:ascii="Times New Roman" w:hAnsi="Times New Roman"/>
          <w:sz w:val="32"/>
        </w:rPr>
        <w:t>&lt;</w:t>
      </w:r>
      <w:r>
        <w:rPr>
          <w:rFonts w:hint="eastAsia" w:ascii="Times New Roman" w:hAnsi="Times New Roman"/>
          <w:sz w:val="32"/>
        </w:rPr>
        <w:t>中共重庆市委重庆市人民政府关于全面实施预算绩效管理实施意见</w:t>
      </w:r>
      <w:r>
        <w:rPr>
          <w:rFonts w:ascii="Times New Roman" w:hAnsi="Times New Roman"/>
          <w:sz w:val="32"/>
        </w:rPr>
        <w:t>&gt;</w:t>
      </w:r>
      <w:r>
        <w:rPr>
          <w:rFonts w:hint="eastAsia" w:ascii="Times New Roman" w:hAnsi="Times New Roman"/>
          <w:sz w:val="32"/>
        </w:rPr>
        <w:t>的通知》（涪陵委〔</w:t>
      </w:r>
      <w:r>
        <w:rPr>
          <w:rFonts w:ascii="Times New Roman" w:hAnsi="Times New Roman"/>
          <w:sz w:val="32"/>
        </w:rPr>
        <w:t>2020</w:t>
      </w:r>
      <w:r>
        <w:rPr>
          <w:rFonts w:hint="eastAsia" w:ascii="Times New Roman" w:hAnsi="Times New Roman"/>
          <w:sz w:val="32"/>
        </w:rPr>
        <w:t>〕</w:t>
      </w:r>
      <w:r>
        <w:rPr>
          <w:rFonts w:ascii="Times New Roman" w:hAnsi="Times New Roman"/>
          <w:sz w:val="32"/>
        </w:rPr>
        <w:t>34</w:t>
      </w:r>
      <w:r>
        <w:rPr>
          <w:rFonts w:hint="eastAsia" w:ascii="Times New Roman" w:hAnsi="Times New Roman"/>
          <w:sz w:val="32"/>
        </w:rPr>
        <w:t>号）</w:t>
      </w:r>
      <w:r>
        <w:rPr>
          <w:rFonts w:hint="eastAsia" w:ascii="Times New Roman" w:hAnsi="Times New Roman"/>
          <w:sz w:val="32"/>
          <w:lang w:eastAsia="zh-CN"/>
        </w:rPr>
        <w:t>的文件精神</w:t>
      </w:r>
      <w:r>
        <w:rPr>
          <w:rFonts w:hint="eastAsia" w:ascii="Times New Roman" w:hAnsi="Times New Roman"/>
          <w:sz w:val="32"/>
        </w:rPr>
        <w:t>，重点开展绩效目标运行过程跟踪管理工作</w:t>
      </w:r>
      <w:r>
        <w:rPr>
          <w:rFonts w:hint="eastAsia" w:ascii="Times New Roman" w:hAnsi="Times New Roman"/>
          <w:sz w:val="32"/>
          <w:lang w:eastAsia="zh-CN"/>
        </w:rPr>
        <w:t>，</w:t>
      </w:r>
      <w:r>
        <w:rPr>
          <w:rFonts w:hint="eastAsia" w:ascii="Times New Roman" w:hAnsi="Times New Roman"/>
          <w:sz w:val="32"/>
        </w:rPr>
        <w:t>绩效管理水平得到提高，资金使用效益得到提升。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 w:cs="@宋体"/>
          <w:sz w:val="32"/>
        </w:rPr>
      </w:pPr>
      <w:r>
        <w:rPr>
          <w:rFonts w:hint="eastAsia" w:ascii="Times New Roman" w:hAnsi="Times New Roman" w:eastAsia="方正楷体_GBK" w:cs="@宋体"/>
          <w:sz w:val="32"/>
        </w:rPr>
        <w:t>（</w:t>
      </w:r>
      <w:r>
        <w:rPr>
          <w:rFonts w:hint="eastAsia" w:ascii="Times New Roman" w:hAnsi="Times New Roman" w:eastAsia="方正楷体_GBK" w:cs="@宋体"/>
          <w:sz w:val="32"/>
          <w:lang w:eastAsia="zh-CN"/>
        </w:rPr>
        <w:t>三</w:t>
      </w:r>
      <w:r>
        <w:rPr>
          <w:rFonts w:hint="eastAsia" w:ascii="Times New Roman" w:hAnsi="Times New Roman" w:eastAsia="方正楷体_GBK" w:cs="@宋体"/>
          <w:sz w:val="32"/>
        </w:rPr>
        <w:t>）地方政府债务情况</w:t>
      </w:r>
    </w:p>
    <w:p>
      <w:pPr>
        <w:spacing w:line="560" w:lineRule="exact"/>
        <w:ind w:firstLine="640" w:firstLineChars="200"/>
        <w:rPr>
          <w:rFonts w:hint="eastAsia" w:ascii="Times New Roman" w:hAnsi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/>
          <w:sz w:val="32"/>
          <w:szCs w:val="32"/>
        </w:rPr>
        <w:t>我</w:t>
      </w:r>
      <w:r>
        <w:rPr>
          <w:rFonts w:hint="eastAsia" w:ascii="Times New Roman" w:hAnsi="Times New Roman"/>
          <w:sz w:val="32"/>
          <w:szCs w:val="32"/>
          <w:lang w:eastAsia="zh-CN"/>
        </w:rPr>
        <w:t>镇</w:t>
      </w:r>
      <w:r>
        <w:rPr>
          <w:rFonts w:hint="eastAsia" w:ascii="Times New Roman" w:hAnsi="Times New Roman" w:eastAsia="方正仿宋_GBK"/>
          <w:sz w:val="32"/>
          <w:szCs w:val="32"/>
        </w:rPr>
        <w:t>202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/>
          <w:sz w:val="32"/>
          <w:szCs w:val="32"/>
        </w:rPr>
        <w:t>年未举借政府债务，限额、余额和新增债券均为0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楷体_GBK"/>
          <w:sz w:val="32"/>
        </w:rPr>
      </w:pPr>
      <w:r>
        <w:rPr>
          <w:rFonts w:hint="eastAsia" w:ascii="Times New Roman" w:hAnsi="Times New Roman" w:eastAsia="方正楷体_GBK"/>
          <w:sz w:val="32"/>
        </w:rPr>
        <w:t>（</w:t>
      </w:r>
      <w:r>
        <w:rPr>
          <w:rFonts w:hint="eastAsia" w:ascii="Times New Roman" w:hAnsi="Times New Roman" w:eastAsia="方正楷体_GBK"/>
          <w:sz w:val="32"/>
          <w:lang w:eastAsia="zh-CN"/>
        </w:rPr>
        <w:t>四</w:t>
      </w:r>
      <w:r>
        <w:rPr>
          <w:rFonts w:hint="eastAsia" w:ascii="Times New Roman" w:hAnsi="Times New Roman" w:eastAsia="方正楷体_GBK"/>
          <w:sz w:val="32"/>
        </w:rPr>
        <w:t>）关于“三公”经费支出情况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年度“三公”经费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22.3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万元，其中：因公出国（境）费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万元，公务用车购置及运行维护费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19.35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万元（公务用车购置费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万元、公务用车运行维护费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19.35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万元），公务接待费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2.95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 xml:space="preserve">万元。 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年度因公出国（境）团组数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个，因公出国（境）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人次；公务用车购置数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辆，公务用车保有量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辆；国内公务接待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77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批次，国内公务接待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309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人次，无国（境）外公务接待情况。</w:t>
      </w:r>
    </w:p>
    <w:p>
      <w:pPr>
        <w:spacing w:line="520" w:lineRule="exact"/>
        <w:ind w:firstLine="640" w:firstLineChars="200"/>
        <w:rPr>
          <w:rFonts w:ascii="Times New Roman" w:hAnsi="Times New Roman" w:eastAsia="方正仿宋_GBK" w:cs="宋体"/>
          <w:color w:val="000000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经比较，202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年度“三公”经费较上年减少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%，较年初预算数减少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万元，下降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%。主要是严格落实过紧日子十条举措，严控一般性支出，压减“三公”经费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，但由于油价上涨，未能实现预期目标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。其中：公务用车购置及运行维护费较上年减少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0.04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0.03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公务接待费较上年减少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0.11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万元，较年初预算数减少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  <w:lang w:val="en-US" w:eastAsia="zh-CN"/>
        </w:rPr>
        <w:t>0.01</w:t>
      </w:r>
      <w:r>
        <w:rPr>
          <w:rFonts w:hint="eastAsia" w:ascii="Times New Roman" w:hAnsi="Times New Roman" w:eastAsia="方正仿宋_GBK" w:cs="宋体"/>
          <w:color w:val="000000"/>
          <w:kern w:val="0"/>
          <w:sz w:val="32"/>
          <w:szCs w:val="32"/>
        </w:rPr>
        <w:t>万元。</w:t>
      </w:r>
    </w:p>
    <w:p>
      <w:pPr>
        <w:spacing w:line="560" w:lineRule="exact"/>
        <w:ind w:firstLine="640" w:firstLineChars="200"/>
        <w:rPr>
          <w:rFonts w:ascii="方正楷体_GBK" w:eastAsia="方正楷体_GBK"/>
        </w:rPr>
      </w:pPr>
    </w:p>
    <w:p>
      <w:pPr>
        <w:spacing w:line="560" w:lineRule="exact"/>
        <w:ind w:firstLine="640" w:firstLineChars="200"/>
      </w:pPr>
    </w:p>
    <w:p>
      <w:pPr>
        <w:spacing w:line="560" w:lineRule="exact"/>
        <w:ind w:firstLine="640" w:firstLineChars="200"/>
      </w:pPr>
      <w:r>
        <w:rPr>
          <w:rFonts w:hint="eastAsia"/>
        </w:rPr>
        <w:t>附件：</w:t>
      </w:r>
      <w:r>
        <w:rPr>
          <w:rFonts w:hint="eastAsia" w:ascii="方正仿宋_GBK"/>
        </w:rPr>
        <w:t>重庆市涪陵区</w:t>
      </w:r>
      <w:r>
        <w:rPr>
          <w:rFonts w:hint="eastAsia" w:ascii="方正仿宋_GBK"/>
          <w:lang w:eastAsia="zh-CN"/>
        </w:rPr>
        <w:t>同乐镇</w:t>
      </w:r>
      <w:bookmarkStart w:id="0" w:name="_GoBack"/>
      <w:bookmarkEnd w:id="0"/>
      <w:r>
        <w:rPr>
          <w:rFonts w:ascii="方正仿宋_GBK"/>
        </w:rPr>
        <w:t>202</w:t>
      </w:r>
      <w:r>
        <w:rPr>
          <w:rFonts w:hint="eastAsia" w:ascii="方正仿宋_GBK"/>
          <w:lang w:val="en-US" w:eastAsia="zh-CN"/>
        </w:rPr>
        <w:t>1</w:t>
      </w:r>
      <w:r>
        <w:rPr>
          <w:rFonts w:hint="eastAsia" w:ascii="方正仿宋_GBK"/>
        </w:rPr>
        <w:t>年本级决算</w:t>
      </w:r>
    </w:p>
    <w:sectPr>
      <w:footerReference r:id="rId3" w:type="default"/>
      <w:footerReference r:id="rId4" w:type="even"/>
      <w:pgSz w:w="11906" w:h="16838"/>
      <w:pgMar w:top="2098" w:right="1418" w:bottom="1701" w:left="1644" w:header="851" w:footer="170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@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@宋体">
    <w:altName w:val="方正书宋_GBK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方正仿宋_GBK" w:eastAsia="方正仿宋_GBK"/>
        <w:sz w:val="28"/>
        <w:szCs w:val="28"/>
      </w:rPr>
    </w:pPr>
    <w:r>
      <w:rPr>
        <w:rStyle w:val="6"/>
        <w:rFonts w:ascii="方正仿宋_GBK" w:eastAsia="方正仿宋_GBK"/>
        <w:sz w:val="28"/>
        <w:szCs w:val="28"/>
      </w:rPr>
      <w:fldChar w:fldCharType="begin"/>
    </w:r>
    <w:r>
      <w:rPr>
        <w:rStyle w:val="6"/>
        <w:rFonts w:ascii="方正仿宋_GBK" w:eastAsia="方正仿宋_GBK"/>
        <w:sz w:val="28"/>
        <w:szCs w:val="28"/>
      </w:rPr>
      <w:instrText xml:space="preserve">PAGE  </w:instrText>
    </w:r>
    <w:r>
      <w:rPr>
        <w:rStyle w:val="6"/>
        <w:rFonts w:ascii="方正仿宋_GBK" w:eastAsia="方正仿宋_GBK"/>
        <w:sz w:val="28"/>
        <w:szCs w:val="28"/>
      </w:rPr>
      <w:fldChar w:fldCharType="separate"/>
    </w:r>
    <w:r>
      <w:rPr>
        <w:rStyle w:val="6"/>
        <w:rFonts w:ascii="方正仿宋_GBK" w:eastAsia="方正仿宋_GBK"/>
        <w:sz w:val="28"/>
        <w:szCs w:val="28"/>
      </w:rPr>
      <w:t>- 1 -</w:t>
    </w:r>
    <w:r>
      <w:rPr>
        <w:rStyle w:val="6"/>
        <w:rFonts w:ascii="方正仿宋_GBK" w:eastAsia="方正仿宋_GBK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JjNjFiMWI4Yjc0OTAzZTljN2U5MmY2MGUxMTFkMjMifQ=="/>
  </w:docVars>
  <w:rsids>
    <w:rsidRoot w:val="00DF0ADB"/>
    <w:rsid w:val="00006574"/>
    <w:rsid w:val="00006C34"/>
    <w:rsid w:val="00013DB3"/>
    <w:rsid w:val="000265C5"/>
    <w:rsid w:val="00037ADD"/>
    <w:rsid w:val="00060E53"/>
    <w:rsid w:val="0007472F"/>
    <w:rsid w:val="00080FCB"/>
    <w:rsid w:val="000835C4"/>
    <w:rsid w:val="0008770B"/>
    <w:rsid w:val="00093B52"/>
    <w:rsid w:val="000A17CC"/>
    <w:rsid w:val="000B685C"/>
    <w:rsid w:val="000C10BA"/>
    <w:rsid w:val="000C188E"/>
    <w:rsid w:val="000C1CB0"/>
    <w:rsid w:val="000C338F"/>
    <w:rsid w:val="000D310F"/>
    <w:rsid w:val="000D61DB"/>
    <w:rsid w:val="000E1A29"/>
    <w:rsid w:val="000E28EA"/>
    <w:rsid w:val="000E3ADE"/>
    <w:rsid w:val="00111DDD"/>
    <w:rsid w:val="00117E5E"/>
    <w:rsid w:val="00124490"/>
    <w:rsid w:val="00137A1E"/>
    <w:rsid w:val="00147B9E"/>
    <w:rsid w:val="0016723F"/>
    <w:rsid w:val="0017241B"/>
    <w:rsid w:val="001765BC"/>
    <w:rsid w:val="001942D7"/>
    <w:rsid w:val="001B0F53"/>
    <w:rsid w:val="001B2900"/>
    <w:rsid w:val="001B51D2"/>
    <w:rsid w:val="001B7982"/>
    <w:rsid w:val="001C3721"/>
    <w:rsid w:val="001C7AC1"/>
    <w:rsid w:val="001D0242"/>
    <w:rsid w:val="001D18E1"/>
    <w:rsid w:val="001D2615"/>
    <w:rsid w:val="001D5AFE"/>
    <w:rsid w:val="001D61DC"/>
    <w:rsid w:val="001E6F5B"/>
    <w:rsid w:val="001F545A"/>
    <w:rsid w:val="0020115B"/>
    <w:rsid w:val="0022417E"/>
    <w:rsid w:val="00235520"/>
    <w:rsid w:val="0024126C"/>
    <w:rsid w:val="00255662"/>
    <w:rsid w:val="00256F54"/>
    <w:rsid w:val="00266C80"/>
    <w:rsid w:val="002915EB"/>
    <w:rsid w:val="00293C8C"/>
    <w:rsid w:val="002A035B"/>
    <w:rsid w:val="002A5D81"/>
    <w:rsid w:val="002D1BEB"/>
    <w:rsid w:val="002D3021"/>
    <w:rsid w:val="002E0BA7"/>
    <w:rsid w:val="002E2814"/>
    <w:rsid w:val="002F26E1"/>
    <w:rsid w:val="00302070"/>
    <w:rsid w:val="0030210D"/>
    <w:rsid w:val="00306862"/>
    <w:rsid w:val="003119F3"/>
    <w:rsid w:val="00334ECF"/>
    <w:rsid w:val="003359FA"/>
    <w:rsid w:val="00341AE6"/>
    <w:rsid w:val="003440FA"/>
    <w:rsid w:val="00352CCB"/>
    <w:rsid w:val="00365B39"/>
    <w:rsid w:val="00384DF0"/>
    <w:rsid w:val="003940C5"/>
    <w:rsid w:val="00394422"/>
    <w:rsid w:val="003A0755"/>
    <w:rsid w:val="003A1391"/>
    <w:rsid w:val="003C74D0"/>
    <w:rsid w:val="003D1B01"/>
    <w:rsid w:val="003D2FC1"/>
    <w:rsid w:val="003E2C1B"/>
    <w:rsid w:val="003E396A"/>
    <w:rsid w:val="003F2D30"/>
    <w:rsid w:val="0040576C"/>
    <w:rsid w:val="00421B03"/>
    <w:rsid w:val="00422122"/>
    <w:rsid w:val="004253E5"/>
    <w:rsid w:val="0042632C"/>
    <w:rsid w:val="00427592"/>
    <w:rsid w:val="00432E7D"/>
    <w:rsid w:val="004477DC"/>
    <w:rsid w:val="00471FEB"/>
    <w:rsid w:val="004774E0"/>
    <w:rsid w:val="00487F0B"/>
    <w:rsid w:val="004A22AF"/>
    <w:rsid w:val="004A5901"/>
    <w:rsid w:val="004B04A2"/>
    <w:rsid w:val="004B1128"/>
    <w:rsid w:val="004D4420"/>
    <w:rsid w:val="004D599B"/>
    <w:rsid w:val="004D793F"/>
    <w:rsid w:val="004E42B4"/>
    <w:rsid w:val="004E7983"/>
    <w:rsid w:val="004E7F8D"/>
    <w:rsid w:val="004F6FC4"/>
    <w:rsid w:val="00500595"/>
    <w:rsid w:val="00504979"/>
    <w:rsid w:val="0052315C"/>
    <w:rsid w:val="00527051"/>
    <w:rsid w:val="00540428"/>
    <w:rsid w:val="00543A2E"/>
    <w:rsid w:val="005454DF"/>
    <w:rsid w:val="005712D8"/>
    <w:rsid w:val="0057453E"/>
    <w:rsid w:val="00575D5F"/>
    <w:rsid w:val="00580E44"/>
    <w:rsid w:val="00595AC3"/>
    <w:rsid w:val="005A4759"/>
    <w:rsid w:val="005B1329"/>
    <w:rsid w:val="005B6ED9"/>
    <w:rsid w:val="005E6B90"/>
    <w:rsid w:val="005E7C2F"/>
    <w:rsid w:val="005F138D"/>
    <w:rsid w:val="005F3CA6"/>
    <w:rsid w:val="005F555B"/>
    <w:rsid w:val="005F7834"/>
    <w:rsid w:val="00601B11"/>
    <w:rsid w:val="00613BE9"/>
    <w:rsid w:val="00614B92"/>
    <w:rsid w:val="006150B1"/>
    <w:rsid w:val="0061642C"/>
    <w:rsid w:val="00617DB5"/>
    <w:rsid w:val="0063595B"/>
    <w:rsid w:val="006418D1"/>
    <w:rsid w:val="006507A7"/>
    <w:rsid w:val="00664BE4"/>
    <w:rsid w:val="00665570"/>
    <w:rsid w:val="00665ACE"/>
    <w:rsid w:val="00667A45"/>
    <w:rsid w:val="006A536A"/>
    <w:rsid w:val="006A7C96"/>
    <w:rsid w:val="006B118C"/>
    <w:rsid w:val="006B2F3C"/>
    <w:rsid w:val="006B6D93"/>
    <w:rsid w:val="006B7FCB"/>
    <w:rsid w:val="006D29B3"/>
    <w:rsid w:val="006D5534"/>
    <w:rsid w:val="006F152F"/>
    <w:rsid w:val="00710C32"/>
    <w:rsid w:val="007225D9"/>
    <w:rsid w:val="0072318F"/>
    <w:rsid w:val="0073143C"/>
    <w:rsid w:val="0073455C"/>
    <w:rsid w:val="00740635"/>
    <w:rsid w:val="00741DA9"/>
    <w:rsid w:val="00745C7A"/>
    <w:rsid w:val="0074761C"/>
    <w:rsid w:val="007543FE"/>
    <w:rsid w:val="00781815"/>
    <w:rsid w:val="0078626B"/>
    <w:rsid w:val="007911F6"/>
    <w:rsid w:val="007A139D"/>
    <w:rsid w:val="007A1FB8"/>
    <w:rsid w:val="007A638A"/>
    <w:rsid w:val="007A6900"/>
    <w:rsid w:val="007B1A31"/>
    <w:rsid w:val="007B5BE2"/>
    <w:rsid w:val="007C5F79"/>
    <w:rsid w:val="007C712A"/>
    <w:rsid w:val="007D4BFC"/>
    <w:rsid w:val="007E3754"/>
    <w:rsid w:val="007F692D"/>
    <w:rsid w:val="00822320"/>
    <w:rsid w:val="0082678D"/>
    <w:rsid w:val="00830A70"/>
    <w:rsid w:val="00837631"/>
    <w:rsid w:val="00852A2F"/>
    <w:rsid w:val="008565B3"/>
    <w:rsid w:val="0087352A"/>
    <w:rsid w:val="00876391"/>
    <w:rsid w:val="00882A75"/>
    <w:rsid w:val="00886FEE"/>
    <w:rsid w:val="00893BB5"/>
    <w:rsid w:val="008A09FB"/>
    <w:rsid w:val="008B089A"/>
    <w:rsid w:val="008B2A61"/>
    <w:rsid w:val="008C001F"/>
    <w:rsid w:val="008D56EA"/>
    <w:rsid w:val="008E118A"/>
    <w:rsid w:val="008E64C8"/>
    <w:rsid w:val="008F0F46"/>
    <w:rsid w:val="008F176E"/>
    <w:rsid w:val="008F5E80"/>
    <w:rsid w:val="00947538"/>
    <w:rsid w:val="00963CEF"/>
    <w:rsid w:val="009646BD"/>
    <w:rsid w:val="00971F47"/>
    <w:rsid w:val="009730A6"/>
    <w:rsid w:val="0098172E"/>
    <w:rsid w:val="00981B84"/>
    <w:rsid w:val="009A3D55"/>
    <w:rsid w:val="009A4B91"/>
    <w:rsid w:val="009A5115"/>
    <w:rsid w:val="009A6639"/>
    <w:rsid w:val="009C0322"/>
    <w:rsid w:val="009C2D92"/>
    <w:rsid w:val="009C6999"/>
    <w:rsid w:val="009E3485"/>
    <w:rsid w:val="009F4051"/>
    <w:rsid w:val="00A057EA"/>
    <w:rsid w:val="00A10933"/>
    <w:rsid w:val="00A11603"/>
    <w:rsid w:val="00A1523E"/>
    <w:rsid w:val="00A16114"/>
    <w:rsid w:val="00A22F37"/>
    <w:rsid w:val="00A26695"/>
    <w:rsid w:val="00A30F39"/>
    <w:rsid w:val="00A31D1D"/>
    <w:rsid w:val="00A324CB"/>
    <w:rsid w:val="00A37617"/>
    <w:rsid w:val="00A42F64"/>
    <w:rsid w:val="00A60B3E"/>
    <w:rsid w:val="00A63790"/>
    <w:rsid w:val="00A711B5"/>
    <w:rsid w:val="00A747BD"/>
    <w:rsid w:val="00A74C9B"/>
    <w:rsid w:val="00A77B06"/>
    <w:rsid w:val="00A80A66"/>
    <w:rsid w:val="00A81523"/>
    <w:rsid w:val="00A839C8"/>
    <w:rsid w:val="00A8513A"/>
    <w:rsid w:val="00A9130D"/>
    <w:rsid w:val="00A95EA3"/>
    <w:rsid w:val="00A9610A"/>
    <w:rsid w:val="00AA0750"/>
    <w:rsid w:val="00AB1893"/>
    <w:rsid w:val="00AB2C3A"/>
    <w:rsid w:val="00AC3C5B"/>
    <w:rsid w:val="00AC5CE4"/>
    <w:rsid w:val="00B00AD8"/>
    <w:rsid w:val="00B11A71"/>
    <w:rsid w:val="00B1769A"/>
    <w:rsid w:val="00B242BE"/>
    <w:rsid w:val="00B266E6"/>
    <w:rsid w:val="00B428C5"/>
    <w:rsid w:val="00B543BE"/>
    <w:rsid w:val="00B61E48"/>
    <w:rsid w:val="00B730D0"/>
    <w:rsid w:val="00B756A8"/>
    <w:rsid w:val="00B769C9"/>
    <w:rsid w:val="00B82290"/>
    <w:rsid w:val="00B86D26"/>
    <w:rsid w:val="00B90E08"/>
    <w:rsid w:val="00B94A30"/>
    <w:rsid w:val="00B97867"/>
    <w:rsid w:val="00BB53A6"/>
    <w:rsid w:val="00BC587A"/>
    <w:rsid w:val="00BD2422"/>
    <w:rsid w:val="00BE5BDB"/>
    <w:rsid w:val="00BE6291"/>
    <w:rsid w:val="00BF4DA8"/>
    <w:rsid w:val="00BF62A2"/>
    <w:rsid w:val="00C1728E"/>
    <w:rsid w:val="00C20C9B"/>
    <w:rsid w:val="00C25F67"/>
    <w:rsid w:val="00C3791E"/>
    <w:rsid w:val="00C424E3"/>
    <w:rsid w:val="00C46A59"/>
    <w:rsid w:val="00C71F7F"/>
    <w:rsid w:val="00C735EF"/>
    <w:rsid w:val="00C75363"/>
    <w:rsid w:val="00C775AD"/>
    <w:rsid w:val="00C808C2"/>
    <w:rsid w:val="00C819BB"/>
    <w:rsid w:val="00C85737"/>
    <w:rsid w:val="00CB257D"/>
    <w:rsid w:val="00CC3797"/>
    <w:rsid w:val="00CD5B39"/>
    <w:rsid w:val="00CD71C2"/>
    <w:rsid w:val="00CD7F89"/>
    <w:rsid w:val="00CF02A2"/>
    <w:rsid w:val="00CF28FE"/>
    <w:rsid w:val="00D00050"/>
    <w:rsid w:val="00D02687"/>
    <w:rsid w:val="00D037CB"/>
    <w:rsid w:val="00D05CFA"/>
    <w:rsid w:val="00D1524F"/>
    <w:rsid w:val="00D15A3D"/>
    <w:rsid w:val="00D21642"/>
    <w:rsid w:val="00D25AB5"/>
    <w:rsid w:val="00D41CE1"/>
    <w:rsid w:val="00D578B1"/>
    <w:rsid w:val="00D66DCB"/>
    <w:rsid w:val="00D705C8"/>
    <w:rsid w:val="00D70831"/>
    <w:rsid w:val="00D74F51"/>
    <w:rsid w:val="00D80C27"/>
    <w:rsid w:val="00D84630"/>
    <w:rsid w:val="00D85481"/>
    <w:rsid w:val="00D936DD"/>
    <w:rsid w:val="00DB4F56"/>
    <w:rsid w:val="00DB515D"/>
    <w:rsid w:val="00DB7299"/>
    <w:rsid w:val="00DD6B14"/>
    <w:rsid w:val="00DE1001"/>
    <w:rsid w:val="00DF0ADB"/>
    <w:rsid w:val="00DF73EE"/>
    <w:rsid w:val="00E31649"/>
    <w:rsid w:val="00E43CE0"/>
    <w:rsid w:val="00E453F4"/>
    <w:rsid w:val="00E469C4"/>
    <w:rsid w:val="00E61FCA"/>
    <w:rsid w:val="00E67804"/>
    <w:rsid w:val="00E75C40"/>
    <w:rsid w:val="00E76102"/>
    <w:rsid w:val="00E847E5"/>
    <w:rsid w:val="00E944CB"/>
    <w:rsid w:val="00EA1785"/>
    <w:rsid w:val="00EB2B08"/>
    <w:rsid w:val="00EB6151"/>
    <w:rsid w:val="00EC010C"/>
    <w:rsid w:val="00ED49BF"/>
    <w:rsid w:val="00ED5A2D"/>
    <w:rsid w:val="00ED762B"/>
    <w:rsid w:val="00EE52B7"/>
    <w:rsid w:val="00EF4582"/>
    <w:rsid w:val="00F029CE"/>
    <w:rsid w:val="00F03388"/>
    <w:rsid w:val="00F04E62"/>
    <w:rsid w:val="00F179B4"/>
    <w:rsid w:val="00F207FB"/>
    <w:rsid w:val="00F46019"/>
    <w:rsid w:val="00F53BFF"/>
    <w:rsid w:val="00F53C68"/>
    <w:rsid w:val="00F60959"/>
    <w:rsid w:val="00F66619"/>
    <w:rsid w:val="00F741FC"/>
    <w:rsid w:val="00F77293"/>
    <w:rsid w:val="00F861FE"/>
    <w:rsid w:val="00F87511"/>
    <w:rsid w:val="00F914B6"/>
    <w:rsid w:val="00FA084F"/>
    <w:rsid w:val="00FB2595"/>
    <w:rsid w:val="00FB4794"/>
    <w:rsid w:val="00FC0B18"/>
    <w:rsid w:val="00FC5C42"/>
    <w:rsid w:val="00FD2EE0"/>
    <w:rsid w:val="00FD524B"/>
    <w:rsid w:val="00FD7ACC"/>
    <w:rsid w:val="07EC29CE"/>
    <w:rsid w:val="1B3A641C"/>
    <w:rsid w:val="3AD92F0E"/>
    <w:rsid w:val="3EEF0A98"/>
    <w:rsid w:val="41884927"/>
    <w:rsid w:val="61797020"/>
    <w:rsid w:val="6AAE3258"/>
    <w:rsid w:val="6B2573DB"/>
    <w:rsid w:val="6E937F4B"/>
    <w:rsid w:val="6EB72665"/>
    <w:rsid w:val="72DD5620"/>
    <w:rsid w:val="AF3FE3F2"/>
    <w:rsid w:val="E57D6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/>
      <w:sz w:val="18"/>
      <w:szCs w:val="18"/>
    </w:rPr>
  </w:style>
  <w:style w:type="paragraph" w:styleId="3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/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paragraph" w:customStyle="1" w:styleId="9">
    <w:name w:val="Char Char Char1 Char Char Char Char Char Char Char Char Char Char"/>
    <w:basedOn w:val="1"/>
    <w:semiHidden/>
    <w:qFormat/>
    <w:uiPriority w:val="99"/>
    <w:pPr>
      <w:adjustRightInd w:val="0"/>
      <w:snapToGrid w:val="0"/>
      <w:spacing w:line="360" w:lineRule="auto"/>
      <w:ind w:firstLine="200" w:firstLineChars="200"/>
    </w:pPr>
    <w:rPr>
      <w:rFonts w:ascii="宋体" w:hAnsi="宋体" w:eastAsia="宋体" w:cs="宋体"/>
      <w:sz w:val="24"/>
      <w:szCs w:val="2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958</Words>
  <Characters>1087</Characters>
  <Lines>26</Lines>
  <Paragraphs>7</Paragraphs>
  <TotalTime>4</TotalTime>
  <ScaleCrop>false</ScaleCrop>
  <LinksUpToDate>false</LinksUpToDate>
  <CharactersWithSpaces>1092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2020-07-02T17:11:00Z</dcterms:created>
  <dc:creator>User</dc:creator>
  <cp:lastModifiedBy>user</cp:lastModifiedBy>
  <cp:lastPrinted>2021-08-20T22:11:00Z</cp:lastPrinted>
  <dcterms:modified xsi:type="dcterms:W3CDTF">2023-10-12T15:17:07Z</dcterms:modified>
  <cp:revision>288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9CC05FE539F5413F8C56863FE9909F23</vt:lpwstr>
  </property>
</Properties>
</file>