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年涪陵区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同乐镇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汇总情况</w:t>
      </w:r>
    </w:p>
    <w:p>
      <w:pPr>
        <w:rPr>
          <w:rFonts w:hint="default" w:ascii="Times New Roman" w:hAnsi="Times New Roman" w:cs="Times New Roman" w:eastAsiaTheme="majorEastAsia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按照市政府、区政府关于推进政府信息公开工作部署和要求，经汇总，202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年一般公共预算“三公”经费支出预算为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万元，其中：因公出国（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境）费用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万元，公务用车购置及运行维护费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年预算相比，202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年一般公共预算“三公”经费支出预算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主要是严格执行公车管理制度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控制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落实过“紧日子”十条举措，压缩接待开支，降低运行成本。</w:t>
      </w: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同乐镇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202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35.6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3.6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hZTkwY2ViNWYxOTk3NTg5OTZlZjE1Mzc5NGI1YmM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C696B5B"/>
    <w:rsid w:val="12F80CD7"/>
    <w:rsid w:val="42A26C68"/>
    <w:rsid w:val="4E2F2AFE"/>
    <w:rsid w:val="7BD351CD"/>
    <w:rsid w:val="FB7F8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298</Words>
  <Characters>326</Characters>
  <Lines>3</Lines>
  <Paragraphs>1</Paragraphs>
  <TotalTime>6</TotalTime>
  <ScaleCrop>false</ScaleCrop>
  <LinksUpToDate>false</LinksUpToDate>
  <CharactersWithSpaces>364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2020-01-14T09:00:00Z</dcterms:created>
  <dc:creator>重庆市涪陵区政府</dc:creator>
  <cp:lastModifiedBy>user</cp:lastModifiedBy>
  <cp:lastPrinted>2021-04-08T17:31:00Z</cp:lastPrinted>
  <dcterms:modified xsi:type="dcterms:W3CDTF">2025-02-01T10:51:48Z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28263A55A6AB406C89CCF71A4154D0BA</vt:lpwstr>
  </property>
</Properties>
</file>