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646BF">
      <w:pPr>
        <w:ind w:firstLine="0" w:firstLineChars="0"/>
        <w:jc w:val="center"/>
        <w:rPr>
          <w:rFonts w:ascii="方正小标宋_GBK" w:eastAsia="方正小标宋_GBK"/>
          <w:sz w:val="44"/>
          <w:szCs w:val="44"/>
        </w:rPr>
      </w:pPr>
      <w:r>
        <w:rPr>
          <w:rFonts w:hint="eastAsia" w:ascii="方正小标宋_GBK" w:eastAsia="方正小标宋_GBK"/>
          <w:sz w:val="44"/>
          <w:szCs w:val="44"/>
        </w:rPr>
        <w:t>涪陵高新区2023年预算执行情况</w:t>
      </w:r>
    </w:p>
    <w:p w14:paraId="3B8B29DA">
      <w:pPr>
        <w:ind w:firstLine="0" w:firstLineChars="0"/>
        <w:jc w:val="center"/>
        <w:rPr>
          <w:rFonts w:ascii="方正小标宋_GBK" w:eastAsia="方正小标宋_GBK"/>
          <w:sz w:val="44"/>
          <w:szCs w:val="44"/>
        </w:rPr>
      </w:pPr>
      <w:r>
        <w:rPr>
          <w:rFonts w:hint="eastAsia" w:ascii="方正小标宋_GBK" w:eastAsia="方正小标宋_GBK"/>
          <w:sz w:val="44"/>
          <w:szCs w:val="44"/>
        </w:rPr>
        <w:t>和2024年预算草案的报告</w:t>
      </w:r>
    </w:p>
    <w:p w14:paraId="6D5E7E50"/>
    <w:p w14:paraId="5B0A2C53">
      <w:pPr>
        <w:rPr>
          <w:rFonts w:ascii="方正黑体_GBK" w:eastAsia="方正黑体_GBK"/>
        </w:rPr>
      </w:pPr>
      <w:r>
        <w:rPr>
          <w:rFonts w:hint="eastAsia" w:ascii="方正黑体_GBK" w:eastAsia="方正黑体_GBK"/>
        </w:rPr>
        <w:t>一、2023年财政工作情况</w:t>
      </w:r>
    </w:p>
    <w:p w14:paraId="52597945">
      <w:r>
        <w:rPr>
          <w:rFonts w:hint="eastAsia"/>
        </w:rPr>
        <w:t>2023年，是全面贯彻党的二十大精神的开局之年，是奋力谱写现代化新重庆涪陵新篇章的起步之年。一年来，涪陵高新区在区委、区政府的坚强领导下，以习近平新时代中国特色社会主义思想为指导，</w:t>
      </w:r>
      <w:r>
        <w:t>坚持稳中求进工作总基调，</w:t>
      </w:r>
      <w:r>
        <w:rPr>
          <w:rFonts w:hint="eastAsia"/>
        </w:rPr>
        <w:t>服务保障区委、区政府工作部署，严格执行人大预算决议，为高新区高质量发展提供了坚实的财力保障。</w:t>
      </w:r>
    </w:p>
    <w:p w14:paraId="37F096B1">
      <w:pPr>
        <w:rPr>
          <w:rFonts w:ascii="方正楷体_GBK" w:eastAsia="方正楷体_GBK"/>
        </w:rPr>
      </w:pPr>
      <w:r>
        <w:rPr>
          <w:rFonts w:hint="eastAsia" w:ascii="方正楷体_GBK" w:eastAsia="方正楷体_GBK"/>
        </w:rPr>
        <w:t>（一）加强财政收入组织，着力提高保障能力</w:t>
      </w:r>
    </w:p>
    <w:p w14:paraId="7B4E296A">
      <w:r>
        <w:rPr>
          <w:rFonts w:hint="eastAsia"/>
        </w:rPr>
        <w:t>强化税源建设，坚持产业链招商、以商招商，推进稳链、延链、补链、强链，全年签约项目达 54 个。围绕新能源动力电池、医药食品、新材料等优势产业签约引进瑞浦兰钧、昕磁心脏生物磁量子检测系统等优质项目，做大产业集群。美心翼申成功上市，成为涪陵十多年来首家上市公司，重庆2023年第8家上市企业。新增规上企业5家，新增市级“专精特新”中小企业24家。壮大存量税基，深挖存量企业潜力，成功签约攀华预制菜、康尔安二期等项目，实现“老树发新枝”。加强税收征管协调，做好重点产业、重点企业、重点税源分析研判及征管工作，做到依法征收、应收尽收。持续优化营商环境，深入落实企业服务专员制度，叫响做亮“服到位、零距离”营商环境品牌。积极争取上级产业支持政策，统筹抓好综合保税区收入征管，提高财政保障能力。</w:t>
      </w:r>
    </w:p>
    <w:p w14:paraId="3CD9C5B6">
      <w:pPr>
        <w:rPr>
          <w:rFonts w:ascii="方正楷体_GBK" w:eastAsia="方正楷体_GBK"/>
        </w:rPr>
      </w:pPr>
      <w:r>
        <w:rPr>
          <w:rFonts w:hint="eastAsia" w:ascii="方正楷体_GBK" w:eastAsia="方正楷体_GBK"/>
        </w:rPr>
        <w:t>（二） 提升预算管理水平，确保财政平稳运行</w:t>
      </w:r>
    </w:p>
    <w:p w14:paraId="43F2CB28">
      <w:r>
        <w:rPr>
          <w:rFonts w:hint="eastAsia"/>
        </w:rPr>
        <w:t>加强部门预算管理，提高预算编制完整性，</w:t>
      </w:r>
      <w:r>
        <w:t>合理编制2023年度高新区财政收支预算</w:t>
      </w:r>
      <w:r>
        <w:rPr>
          <w:rFonts w:hint="eastAsia"/>
        </w:rPr>
        <w:t>。严格规范预算执行，</w:t>
      </w:r>
      <w:r>
        <w:t>按时完成</w:t>
      </w:r>
      <w:r>
        <w:rPr>
          <w:rFonts w:hint="eastAsia"/>
        </w:rPr>
        <w:t>预算执行情况报告、预算调整方案报告及决算报告等，</w:t>
      </w:r>
      <w:r>
        <w:t>主动接受人大监督</w:t>
      </w:r>
      <w:r>
        <w:rPr>
          <w:rFonts w:hint="eastAsia"/>
        </w:rPr>
        <w:t>；严格按预算法要求进行预决算等事项公开，主动接受社会监督。提高财政统筹能力，持续优化支出结构，坚持“三保”优先，保障重点，推动财政管理工作再上新台阶。持续推进预算一体化系统完善，全面实施预算绩效管理，深化预算绩效管理体系建设。</w:t>
      </w:r>
    </w:p>
    <w:p w14:paraId="10186ED0">
      <w:pPr>
        <w:rPr>
          <w:rFonts w:ascii="方正楷体_GBK" w:eastAsia="方正楷体_GBK"/>
        </w:rPr>
      </w:pPr>
      <w:r>
        <w:rPr>
          <w:rFonts w:hint="eastAsia" w:ascii="方正楷体_GBK" w:eastAsia="方正楷体_GBK"/>
        </w:rPr>
        <w:t>（三） 加大债务管控力度，筑牢风险防范底线</w:t>
      </w:r>
    </w:p>
    <w:p w14:paraId="1D8908C1">
      <w:r>
        <w:rPr>
          <w:rFonts w:hint="eastAsia"/>
        </w:rPr>
        <w:t>围绕国家重点支持方向，抢抓政策机遇，积极争取上级资金支持，推进债券资金尽早形成实物工作量；获批地方政府专项债2.5亿元，有力保障轴线公园等项目建设。进一步加强债务管控，多渠道筹集资金化解存量隐性债务33.35亿元，坚决遏制新增隐性债务，守牢不发生系统性风险底线；激励平台公司拓展市场化发展空间，不断增强赢利能力和债务管理能力。</w:t>
      </w:r>
    </w:p>
    <w:p w14:paraId="055965A4">
      <w:r>
        <w:rPr>
          <w:rFonts w:hint="eastAsia"/>
        </w:rPr>
        <w:t>同时，我们也清醒认识到，当前财政工作还面临不少困难和问题：财政资金使用管理有待加强，预算绩效管理仍需提升，政府债务还本付息压力逐渐上升，财政预算管理改革还需进一步深化。我们高度重视这些问题，将积极采取措施加以解决。</w:t>
      </w:r>
    </w:p>
    <w:p w14:paraId="34F42BDD">
      <w:pPr>
        <w:rPr>
          <w:rFonts w:ascii="方正黑体_GBK" w:eastAsia="方正黑体_GBK"/>
        </w:rPr>
      </w:pPr>
      <w:r>
        <w:rPr>
          <w:rFonts w:hint="eastAsia" w:ascii="方正黑体_GBK" w:eastAsia="方正黑体_GBK"/>
        </w:rPr>
        <w:t>二、2023年预算执行情况</w:t>
      </w:r>
    </w:p>
    <w:p w14:paraId="3ECA13C8">
      <w:pPr>
        <w:rPr>
          <w:rFonts w:ascii="方正楷体_GBK" w:eastAsia="方正楷体_GBK"/>
        </w:rPr>
      </w:pPr>
      <w:r>
        <w:rPr>
          <w:rFonts w:hint="eastAsia" w:ascii="方正楷体_GBK" w:eastAsia="方正楷体_GBK"/>
        </w:rPr>
        <w:t>（一）一般公共预算执行情况</w:t>
      </w:r>
    </w:p>
    <w:p w14:paraId="6C8C7C87">
      <w:r>
        <w:t>1</w:t>
      </w:r>
      <w:r>
        <w:rPr>
          <w:rFonts w:hint="eastAsia"/>
        </w:rPr>
        <w:t xml:space="preserve">. </w:t>
      </w:r>
      <w:r>
        <w:t>收入项目执行情况</w:t>
      </w:r>
    </w:p>
    <w:p w14:paraId="0FE0E085">
      <w:r>
        <w:rPr>
          <w:rFonts w:hint="eastAsia"/>
        </w:rPr>
        <w:t>高</w:t>
      </w:r>
      <w:r>
        <w:t>新区</w:t>
      </w:r>
      <w:r>
        <w:rPr>
          <w:rFonts w:hint="eastAsia"/>
        </w:rPr>
        <w:t>实现</w:t>
      </w:r>
      <w:r>
        <w:t>一般公共预算收入</w:t>
      </w:r>
      <w:r>
        <w:rPr>
          <w:rFonts w:hint="eastAsia"/>
        </w:rPr>
        <w:t>86,858万元，为预算的66%，增长14%，</w:t>
      </w:r>
      <w:r>
        <w:t>其中税收完成</w:t>
      </w:r>
      <w:r>
        <w:rPr>
          <w:rFonts w:hint="eastAsia"/>
        </w:rPr>
        <w:t>81</w:t>
      </w:r>
      <w:r>
        <w:t>,</w:t>
      </w:r>
      <w:r>
        <w:rPr>
          <w:rFonts w:hint="eastAsia"/>
        </w:rPr>
        <w:t>723</w:t>
      </w:r>
      <w:r>
        <w:t>万元，</w:t>
      </w:r>
      <w:r>
        <w:rPr>
          <w:rFonts w:hint="eastAsia"/>
        </w:rPr>
        <w:t>为预算的98%，增长8%，非税收入</w:t>
      </w:r>
      <w:r>
        <w:t>完成</w:t>
      </w:r>
      <w:r>
        <w:rPr>
          <w:rFonts w:hint="eastAsia"/>
        </w:rPr>
        <w:t>5</w:t>
      </w:r>
      <w:r>
        <w:t>,</w:t>
      </w:r>
      <w:r>
        <w:rPr>
          <w:rFonts w:hint="eastAsia"/>
        </w:rPr>
        <w:t>135</w:t>
      </w:r>
      <w:r>
        <w:t>万元，</w:t>
      </w:r>
      <w:r>
        <w:rPr>
          <w:rFonts w:hint="eastAsia"/>
        </w:rPr>
        <w:t>为预算的10%，增长726%，</w:t>
      </w:r>
      <w:r>
        <w:t>加上上级补助收入</w:t>
      </w:r>
      <w:r>
        <w:rPr>
          <w:rFonts w:hint="eastAsia"/>
        </w:rPr>
        <w:t>20,643</w:t>
      </w:r>
      <w:r>
        <w:t>万元、</w:t>
      </w:r>
      <w:r>
        <w:rPr>
          <w:rFonts w:hint="eastAsia"/>
        </w:rPr>
        <w:t>调入资金21,056万元、</w:t>
      </w:r>
      <w:r>
        <w:t>上年结</w:t>
      </w:r>
      <w:r>
        <w:rPr>
          <w:rFonts w:hint="eastAsia"/>
        </w:rPr>
        <w:t>转7,086</w:t>
      </w:r>
      <w:r>
        <w:t>万元后，收入总量</w:t>
      </w:r>
      <w:r>
        <w:rPr>
          <w:rFonts w:hint="eastAsia"/>
        </w:rPr>
        <w:t>135,643</w:t>
      </w:r>
      <w:r>
        <w:t xml:space="preserve">万元。 </w:t>
      </w:r>
    </w:p>
    <w:p w14:paraId="6E1C41FE">
      <w:r>
        <w:t>2</w:t>
      </w:r>
      <w:r>
        <w:rPr>
          <w:rFonts w:hint="eastAsia"/>
        </w:rPr>
        <w:t xml:space="preserve">. </w:t>
      </w:r>
      <w:r>
        <w:t>支出项目执行情况</w:t>
      </w:r>
    </w:p>
    <w:p w14:paraId="07602FC5">
      <w:r>
        <w:rPr>
          <w:rFonts w:hint="eastAsia"/>
        </w:rPr>
        <w:t>高</w:t>
      </w:r>
      <w:r>
        <w:t>新区</w:t>
      </w:r>
      <w:r>
        <w:rPr>
          <w:rFonts w:hint="eastAsia"/>
        </w:rPr>
        <w:t>实现</w:t>
      </w:r>
      <w:r>
        <w:t>一般公共预算支出</w:t>
      </w:r>
      <w:r>
        <w:rPr>
          <w:rFonts w:hint="eastAsia"/>
        </w:rPr>
        <w:t>118,417</w:t>
      </w:r>
      <w:r>
        <w:t>万元，完成预算的</w:t>
      </w:r>
      <w:r>
        <w:rPr>
          <w:rFonts w:hint="eastAsia"/>
        </w:rPr>
        <w:t>92</w:t>
      </w:r>
      <w:r>
        <w:t>%，</w:t>
      </w:r>
      <w:r>
        <w:rPr>
          <w:rFonts w:hint="eastAsia"/>
        </w:rPr>
        <w:t>增长67</w:t>
      </w:r>
      <w:r>
        <w:t>%，加上上解支出</w:t>
      </w:r>
      <w:r>
        <w:rPr>
          <w:rFonts w:hint="eastAsia"/>
        </w:rPr>
        <w:t>14,077</w:t>
      </w:r>
      <w:r>
        <w:t>万元，</w:t>
      </w:r>
      <w:r>
        <w:rPr>
          <w:rFonts w:hint="eastAsia"/>
        </w:rPr>
        <w:t>结转下年3,149万元后，</w:t>
      </w:r>
      <w:r>
        <w:t>支出总量</w:t>
      </w:r>
      <w:r>
        <w:rPr>
          <w:rFonts w:hint="eastAsia"/>
        </w:rPr>
        <w:t>135,643</w:t>
      </w:r>
      <w:r>
        <w:t>万元。主要支出项目情况如下：</w:t>
      </w:r>
    </w:p>
    <w:p w14:paraId="6917E3DA">
      <w:r>
        <w:t>——一般公共服务支出</w:t>
      </w:r>
      <w:r>
        <w:rPr>
          <w:rFonts w:hint="eastAsia"/>
        </w:rPr>
        <w:t>12,600</w:t>
      </w:r>
      <w:r>
        <w:t>万元，</w:t>
      </w:r>
      <w:r>
        <w:rPr>
          <w:rFonts w:hint="eastAsia"/>
        </w:rPr>
        <w:t>增长19</w:t>
      </w:r>
      <w:r>
        <w:t>%</w:t>
      </w:r>
      <w:r>
        <w:rPr>
          <w:rFonts w:hint="eastAsia"/>
        </w:rPr>
        <w:t>，</w:t>
      </w:r>
      <w:r>
        <w:rPr>
          <w:rStyle w:val="10"/>
          <w:rFonts w:hint="eastAsia"/>
        </w:rPr>
        <w:t>主要用于保障党政机关、人大、政协和民主党派、人民团体正常运转</w:t>
      </w:r>
      <w:r>
        <w:t>；</w:t>
      </w:r>
    </w:p>
    <w:p w14:paraId="208DA796">
      <w:r>
        <w:t>——</w:t>
      </w:r>
      <w:r>
        <w:rPr>
          <w:rFonts w:hint="eastAsia"/>
        </w:rPr>
        <w:t>国防支出3万元，主要用于保障基干民兵武装部建设；</w:t>
      </w:r>
    </w:p>
    <w:p w14:paraId="12F7ABA3">
      <w:r>
        <w:t>——公共安全支出</w:t>
      </w:r>
      <w:r>
        <w:rPr>
          <w:rFonts w:hint="eastAsia"/>
        </w:rPr>
        <w:t>596</w:t>
      </w:r>
      <w:r>
        <w:t>万元</w:t>
      </w:r>
      <w:r>
        <w:rPr>
          <w:rFonts w:hint="eastAsia"/>
        </w:rPr>
        <w:t>，增长12</w:t>
      </w:r>
      <w:r>
        <w:t>%</w:t>
      </w:r>
      <w:r>
        <w:rPr>
          <w:rFonts w:hint="eastAsia"/>
        </w:rPr>
        <w:t>，</w:t>
      </w:r>
      <w:r>
        <w:rPr>
          <w:rStyle w:val="10"/>
          <w:rFonts w:hint="eastAsia"/>
        </w:rPr>
        <w:t>主要用于保障公安等单位履职需要，维护社会公平和公共安全</w:t>
      </w:r>
      <w:r>
        <w:t>；</w:t>
      </w:r>
    </w:p>
    <w:p w14:paraId="76106C77">
      <w:r>
        <w:t>——</w:t>
      </w:r>
      <w:r>
        <w:rPr>
          <w:rFonts w:hint="eastAsia"/>
        </w:rPr>
        <w:t>科学技术支出7,657</w:t>
      </w:r>
      <w:r>
        <w:t>万元</w:t>
      </w:r>
      <w:r>
        <w:rPr>
          <w:rFonts w:hint="eastAsia"/>
        </w:rPr>
        <w:t>，主要用于保障科创产业发展</w:t>
      </w:r>
      <w:r>
        <w:t>；</w:t>
      </w:r>
    </w:p>
    <w:p w14:paraId="0D46EE4B">
      <w:r>
        <w:t>——文化旅游体育与传媒支出</w:t>
      </w:r>
      <w:r>
        <w:rPr>
          <w:rFonts w:hint="eastAsia"/>
        </w:rPr>
        <w:t>282</w:t>
      </w:r>
      <w:r>
        <w:t>万元</w:t>
      </w:r>
      <w:r>
        <w:rPr>
          <w:rFonts w:hint="eastAsia"/>
        </w:rPr>
        <w:t>，下降3</w:t>
      </w:r>
      <w:r>
        <w:t>%</w:t>
      </w:r>
      <w:r>
        <w:rPr>
          <w:rFonts w:hint="eastAsia"/>
        </w:rPr>
        <w:t>，</w:t>
      </w:r>
      <w:r>
        <w:rPr>
          <w:rStyle w:val="10"/>
          <w:rFonts w:hint="eastAsia"/>
        </w:rPr>
        <w:t>主要用于保障文化体育等事业支出</w:t>
      </w:r>
      <w:r>
        <w:t>；</w:t>
      </w:r>
    </w:p>
    <w:p w14:paraId="1EF841BC">
      <w:r>
        <w:t>——社会保障和就业支出</w:t>
      </w:r>
      <w:r>
        <w:rPr>
          <w:rFonts w:hint="eastAsia"/>
        </w:rPr>
        <w:t>810</w:t>
      </w:r>
      <w:r>
        <w:t>万元</w:t>
      </w:r>
      <w:r>
        <w:rPr>
          <w:rFonts w:hint="eastAsia"/>
        </w:rPr>
        <w:t>，增长18</w:t>
      </w:r>
      <w:r>
        <w:t>%</w:t>
      </w:r>
      <w:r>
        <w:rPr>
          <w:rFonts w:hint="eastAsia"/>
        </w:rPr>
        <w:t>，</w:t>
      </w:r>
      <w:r>
        <w:rPr>
          <w:rStyle w:val="10"/>
          <w:rFonts w:hint="eastAsia"/>
        </w:rPr>
        <w:t>主要用于保障就业、抚恤、退役安置、社会福利等支出</w:t>
      </w:r>
      <w:r>
        <w:t>；</w:t>
      </w:r>
    </w:p>
    <w:p w14:paraId="0E1A40CB">
      <w:r>
        <w:t>——卫生健康支出</w:t>
      </w:r>
      <w:r>
        <w:rPr>
          <w:rFonts w:hint="eastAsia"/>
        </w:rPr>
        <w:t>465</w:t>
      </w:r>
      <w:r>
        <w:t>万元，</w:t>
      </w:r>
      <w:r>
        <w:rPr>
          <w:rFonts w:hint="eastAsia"/>
        </w:rPr>
        <w:t>增长24</w:t>
      </w:r>
      <w:r>
        <w:t>%</w:t>
      </w:r>
      <w:r>
        <w:rPr>
          <w:rFonts w:hint="eastAsia"/>
        </w:rPr>
        <w:t>，</w:t>
      </w:r>
      <w:r>
        <w:rPr>
          <w:rStyle w:val="10"/>
          <w:rFonts w:hint="eastAsia"/>
        </w:rPr>
        <w:t>主要用于保障公共卫生、医疗救助等支出</w:t>
      </w:r>
      <w:r>
        <w:t>；</w:t>
      </w:r>
    </w:p>
    <w:p w14:paraId="13487557">
      <w:r>
        <w:t>——节能环保支出</w:t>
      </w:r>
      <w:r>
        <w:rPr>
          <w:rFonts w:hint="eastAsia"/>
        </w:rPr>
        <w:t>250</w:t>
      </w:r>
      <w:r>
        <w:t>万元，</w:t>
      </w:r>
      <w:r>
        <w:rPr>
          <w:rFonts w:hint="eastAsia"/>
        </w:rPr>
        <w:t>增长1</w:t>
      </w:r>
      <w:r>
        <w:t>%</w:t>
      </w:r>
      <w:r>
        <w:rPr>
          <w:rFonts w:hint="eastAsia"/>
        </w:rPr>
        <w:t>，</w:t>
      </w:r>
      <w:r>
        <w:rPr>
          <w:rStyle w:val="10"/>
          <w:rFonts w:hint="eastAsia"/>
        </w:rPr>
        <w:t>主要用于保障节能环保事业支出</w:t>
      </w:r>
      <w:r>
        <w:rPr>
          <w:rStyle w:val="10"/>
          <w:rFonts w:hint="eastAsia"/>
          <w:color w:val="000000" w:themeColor="text1"/>
        </w:rPr>
        <w:t>；</w:t>
      </w:r>
    </w:p>
    <w:p w14:paraId="3F502323">
      <w:r>
        <w:t>——城乡社区支出</w:t>
      </w:r>
      <w:r>
        <w:rPr>
          <w:rFonts w:hint="eastAsia"/>
        </w:rPr>
        <w:t>33,091</w:t>
      </w:r>
      <w:r>
        <w:t>万元，</w:t>
      </w:r>
      <w:r>
        <w:rPr>
          <w:rFonts w:hint="eastAsia"/>
        </w:rPr>
        <w:t>增长256</w:t>
      </w:r>
      <w:r>
        <w:t>%</w:t>
      </w:r>
      <w:r>
        <w:rPr>
          <w:rFonts w:hint="eastAsia"/>
        </w:rPr>
        <w:t>，</w:t>
      </w:r>
      <w:r>
        <w:rPr>
          <w:rStyle w:val="10"/>
          <w:rFonts w:hint="eastAsia"/>
        </w:rPr>
        <w:t>主要用于保障住建、城管等事业支出</w:t>
      </w:r>
      <w:r>
        <w:t>；</w:t>
      </w:r>
    </w:p>
    <w:p w14:paraId="4CE1F438">
      <w:r>
        <w:t>——农林水支出</w:t>
      </w:r>
      <w:r>
        <w:rPr>
          <w:rFonts w:hint="eastAsia"/>
        </w:rPr>
        <w:t>1,745</w:t>
      </w:r>
      <w:r>
        <w:t>万元，</w:t>
      </w:r>
      <w:r>
        <w:rPr>
          <w:rFonts w:hint="eastAsia"/>
        </w:rPr>
        <w:t>增长258</w:t>
      </w:r>
      <w:r>
        <w:t>%</w:t>
      </w:r>
      <w:r>
        <w:rPr>
          <w:rFonts w:hint="eastAsia"/>
        </w:rPr>
        <w:t>，</w:t>
      </w:r>
      <w:r>
        <w:rPr>
          <w:rStyle w:val="10"/>
          <w:rFonts w:hint="eastAsia"/>
        </w:rPr>
        <w:t>主要用于保障农业、林业、水利、扶贫等事业支出</w:t>
      </w:r>
      <w:r>
        <w:t>；</w:t>
      </w:r>
    </w:p>
    <w:p w14:paraId="78C15390">
      <w:r>
        <w:t>——资源勘探工业信息等支出</w:t>
      </w:r>
      <w:r>
        <w:rPr>
          <w:rFonts w:hint="eastAsia"/>
        </w:rPr>
        <w:t>58,575</w:t>
      </w:r>
      <w:r>
        <w:t>万元，</w:t>
      </w:r>
      <w:r>
        <w:rPr>
          <w:rFonts w:hint="eastAsia"/>
        </w:rPr>
        <w:t>增长22</w:t>
      </w:r>
      <w:r>
        <w:t>%</w:t>
      </w:r>
      <w:r>
        <w:rPr>
          <w:rFonts w:hint="eastAsia"/>
        </w:rPr>
        <w:t>，</w:t>
      </w:r>
      <w:r>
        <w:rPr>
          <w:rStyle w:val="10"/>
          <w:rFonts w:hint="eastAsia"/>
        </w:rPr>
        <w:t>主要用于保障制造业、工业和信息产业、支持中小企业发展等方面支出</w:t>
      </w:r>
      <w:r>
        <w:t>；</w:t>
      </w:r>
    </w:p>
    <w:p w14:paraId="21DA4C17">
      <w:r>
        <w:t>——住房保障支出</w:t>
      </w:r>
      <w:r>
        <w:rPr>
          <w:rFonts w:hint="eastAsia"/>
        </w:rPr>
        <w:t>2,343</w:t>
      </w:r>
      <w:r>
        <w:t>万元</w:t>
      </w:r>
      <w:r>
        <w:rPr>
          <w:rFonts w:hint="eastAsia"/>
        </w:rPr>
        <w:t>，增长1364</w:t>
      </w:r>
      <w:r>
        <w:t>%</w:t>
      </w:r>
      <w:r>
        <w:rPr>
          <w:rFonts w:hint="eastAsia"/>
        </w:rPr>
        <w:t>，</w:t>
      </w:r>
      <w:r>
        <w:rPr>
          <w:rStyle w:val="10"/>
          <w:rFonts w:hint="eastAsia"/>
        </w:rPr>
        <w:t>主要用于保障住房公积金等支出</w:t>
      </w:r>
      <w:r>
        <w:rPr>
          <w:rFonts w:hint="eastAsia"/>
        </w:rPr>
        <w:t>。</w:t>
      </w:r>
    </w:p>
    <w:p w14:paraId="168F8128">
      <w:pPr>
        <w:rPr>
          <w:rFonts w:ascii="方正楷体_GBK" w:eastAsia="方正楷体_GBK"/>
        </w:rPr>
      </w:pPr>
      <w:r>
        <w:rPr>
          <w:rFonts w:hint="eastAsia" w:ascii="方正楷体_GBK" w:eastAsia="方正楷体_GBK"/>
        </w:rPr>
        <w:t>（二）政府性基金预算执行情况</w:t>
      </w:r>
    </w:p>
    <w:p w14:paraId="2A3A0BE6">
      <w:r>
        <w:t>1</w:t>
      </w:r>
      <w:r>
        <w:rPr>
          <w:rFonts w:hint="eastAsia"/>
        </w:rPr>
        <w:t xml:space="preserve">. </w:t>
      </w:r>
      <w:r>
        <w:t>收入项目执行情况</w:t>
      </w:r>
    </w:p>
    <w:p w14:paraId="0A81F14C">
      <w:r>
        <w:rPr>
          <w:rFonts w:hint="eastAsia"/>
        </w:rPr>
        <w:t>高</w:t>
      </w:r>
      <w:r>
        <w:t>新区</w:t>
      </w:r>
      <w:r>
        <w:rPr>
          <w:rFonts w:hint="eastAsia"/>
        </w:rPr>
        <w:t>实现</w:t>
      </w:r>
      <w:r>
        <w:t>政府性基金预算收入</w:t>
      </w:r>
      <w:r>
        <w:rPr>
          <w:rFonts w:hint="eastAsia"/>
        </w:rPr>
        <w:t>235,559</w:t>
      </w:r>
      <w:r>
        <w:t>万元，</w:t>
      </w:r>
      <w:r>
        <w:rPr>
          <w:rFonts w:hint="eastAsia"/>
        </w:rPr>
        <w:t>为预算的101%，下降14</w:t>
      </w:r>
      <w:r>
        <w:t>%，加上上年结</w:t>
      </w:r>
      <w:r>
        <w:rPr>
          <w:rFonts w:hint="eastAsia"/>
        </w:rPr>
        <w:t>转3,828</w:t>
      </w:r>
      <w:r>
        <w:t>万元后，收入总量</w:t>
      </w:r>
      <w:r>
        <w:rPr>
          <w:rFonts w:hint="eastAsia"/>
        </w:rPr>
        <w:t>239,387</w:t>
      </w:r>
      <w:r>
        <w:t>万元。</w:t>
      </w:r>
    </w:p>
    <w:p w14:paraId="4350BA40">
      <w:r>
        <w:t>2</w:t>
      </w:r>
      <w:r>
        <w:rPr>
          <w:rFonts w:hint="eastAsia"/>
        </w:rPr>
        <w:t xml:space="preserve">. </w:t>
      </w:r>
      <w:r>
        <w:t>支出项目执行情况</w:t>
      </w:r>
    </w:p>
    <w:p w14:paraId="6D3E8D3A">
      <w:r>
        <w:rPr>
          <w:rFonts w:hint="eastAsia"/>
        </w:rPr>
        <w:t>高</w:t>
      </w:r>
      <w:r>
        <w:t>新区</w:t>
      </w:r>
      <w:r>
        <w:rPr>
          <w:rFonts w:hint="eastAsia"/>
        </w:rPr>
        <w:t>实现</w:t>
      </w:r>
      <w:r>
        <w:t>政府性基金预算支出</w:t>
      </w:r>
      <w:r>
        <w:rPr>
          <w:rFonts w:hint="eastAsia"/>
        </w:rPr>
        <w:t>189,510</w:t>
      </w:r>
      <w:r>
        <w:t>万元，</w:t>
      </w:r>
      <w:r>
        <w:rPr>
          <w:rFonts w:hint="eastAsia"/>
        </w:rPr>
        <w:t>完成预算的112%，下降23</w:t>
      </w:r>
      <w:r>
        <w:t>%，加上上解支出</w:t>
      </w:r>
      <w:r>
        <w:rPr>
          <w:rFonts w:hint="eastAsia"/>
        </w:rPr>
        <w:t>11,026</w:t>
      </w:r>
      <w:r>
        <w:t>万元</w:t>
      </w:r>
      <w:r>
        <w:rPr>
          <w:rFonts w:hint="eastAsia"/>
        </w:rPr>
        <w:t>、调出资金21,000万元、</w:t>
      </w:r>
      <w:r>
        <w:t>结转下年项目支出</w:t>
      </w:r>
      <w:r>
        <w:rPr>
          <w:rFonts w:hint="eastAsia"/>
        </w:rPr>
        <w:t>17,851</w:t>
      </w:r>
      <w:r>
        <w:t>万元后，支出总量</w:t>
      </w:r>
      <w:r>
        <w:rPr>
          <w:rFonts w:hint="eastAsia"/>
        </w:rPr>
        <w:t>239,387</w:t>
      </w:r>
      <w:r>
        <w:t>万元。</w:t>
      </w:r>
    </w:p>
    <w:p w14:paraId="137A9045">
      <w:pPr>
        <w:rPr>
          <w:rFonts w:ascii="方正楷体_GBK" w:eastAsia="方正楷体_GBK"/>
        </w:rPr>
      </w:pPr>
      <w:r>
        <w:rPr>
          <w:rFonts w:hint="eastAsia" w:ascii="方正楷体_GBK" w:eastAsia="方正楷体_GBK"/>
        </w:rPr>
        <w:t>（三）国有资本经营预算执行情况</w:t>
      </w:r>
    </w:p>
    <w:p w14:paraId="64B3BD83">
      <w:r>
        <w:t>1</w:t>
      </w:r>
      <w:r>
        <w:rPr>
          <w:rFonts w:hint="eastAsia"/>
        </w:rPr>
        <w:t xml:space="preserve">. </w:t>
      </w:r>
      <w:r>
        <w:t>收入项目执行情况</w:t>
      </w:r>
    </w:p>
    <w:p w14:paraId="07C860E0">
      <w:r>
        <w:rPr>
          <w:rFonts w:hint="eastAsia"/>
        </w:rPr>
        <w:t>高</w:t>
      </w:r>
      <w:r>
        <w:t>新区</w:t>
      </w:r>
      <w:r>
        <w:rPr>
          <w:rFonts w:hint="eastAsia"/>
        </w:rPr>
        <w:t>实现国有资本经营预算收入56万元，完成预算的100%。收入总量为56万元。</w:t>
      </w:r>
    </w:p>
    <w:p w14:paraId="566E9AB5">
      <w:r>
        <w:t>2</w:t>
      </w:r>
      <w:r>
        <w:rPr>
          <w:rFonts w:hint="eastAsia"/>
        </w:rPr>
        <w:t xml:space="preserve">. </w:t>
      </w:r>
      <w:r>
        <w:t>支出项目执行情况</w:t>
      </w:r>
    </w:p>
    <w:p w14:paraId="7FEE2AD0">
      <w:r>
        <w:rPr>
          <w:rFonts w:hint="eastAsia"/>
        </w:rPr>
        <w:t>高</w:t>
      </w:r>
      <w:r>
        <w:t>新区</w:t>
      </w:r>
      <w:r>
        <w:rPr>
          <w:rFonts w:hint="eastAsia"/>
        </w:rPr>
        <w:t>实现国有资本经营预算支出总量为56万元，全部为调出资金。</w:t>
      </w:r>
    </w:p>
    <w:p w14:paraId="2CE5E09A">
      <w:pPr>
        <w:rPr>
          <w:rFonts w:ascii="方正黑体_GBK" w:eastAsia="方正黑体_GBK"/>
        </w:rPr>
      </w:pPr>
      <w:r>
        <w:rPr>
          <w:rFonts w:hint="eastAsia" w:ascii="方正黑体_GBK" w:eastAsia="方正黑体_GBK"/>
        </w:rPr>
        <w:t>三、2024年预算草案</w:t>
      </w:r>
    </w:p>
    <w:p w14:paraId="77CF0662">
      <w:r>
        <w:t>202</w:t>
      </w:r>
      <w:r>
        <w:rPr>
          <w:rFonts w:hint="eastAsia"/>
        </w:rPr>
        <w:t>4</w:t>
      </w:r>
      <w:r>
        <w:t>年是</w:t>
      </w:r>
      <w:r>
        <w:rPr>
          <w:rFonts w:hint="eastAsia"/>
        </w:rPr>
        <w:t>实现“十四五”规划目标任务的关键之年，是现代化新重庆建设从全面部署到纵深推进的重要之年，是改革攻坚突破的奋斗之年，做好财政工作意义重大。</w:t>
      </w:r>
    </w:p>
    <w:p w14:paraId="5C9A1A80">
      <w:pPr>
        <w:rPr>
          <w:rFonts w:ascii="方正楷体_GBK" w:eastAsia="方正楷体_GBK"/>
        </w:rPr>
      </w:pPr>
      <w:r>
        <w:rPr>
          <w:rFonts w:hint="eastAsia" w:ascii="方正楷体_GBK" w:eastAsia="方正楷体_GBK"/>
        </w:rPr>
        <w:t>（一）预算编制主要思路</w:t>
      </w:r>
    </w:p>
    <w:p w14:paraId="46EE6B4B">
      <w:r>
        <w:rPr>
          <w:rFonts w:hint="eastAsia"/>
        </w:rPr>
        <w:t>以习近平新时代中国特色社会主义思想为指导，全面贯彻党的二十大、二十届二中全会和中央经济工作会议精神，全面落实市委六届二次、三次、四次全会和市委经济工作会议精神，深入落实区委六届七次全委会要求和区委经济工作会议要求，紧紧围绕区委、区政府的决策部署，切实贯彻落实区人大及人大常委会有关决议。加强财政资源统筹，优化支出重点和结构，增强重大战略任务财力保障；坚持党政机关过紧日子，严肃财经纪律，强化预算约束和绩效管理，提高财政支出的精准性、有效性，进一步深化预算管理制度改革；切实加强风险防控，守住财政风险底线。</w:t>
      </w:r>
    </w:p>
    <w:p w14:paraId="57D6D8E6">
      <w:pPr>
        <w:rPr>
          <w:rFonts w:ascii="方正楷体_GBK" w:eastAsia="方正楷体_GBK"/>
        </w:rPr>
      </w:pPr>
      <w:r>
        <w:rPr>
          <w:rFonts w:hint="eastAsia" w:ascii="方正楷体_GBK" w:eastAsia="方正楷体_GBK"/>
        </w:rPr>
        <w:t>（二）财政收支预算情况</w:t>
      </w:r>
    </w:p>
    <w:p w14:paraId="723249B0">
      <w:r>
        <w:t>1</w:t>
      </w:r>
      <w:r>
        <w:rPr>
          <w:rFonts w:hint="eastAsia"/>
        </w:rPr>
        <w:t xml:space="preserve">. </w:t>
      </w:r>
      <w:r>
        <w:t>一般公共预算收支</w:t>
      </w:r>
    </w:p>
    <w:p w14:paraId="102CC71C">
      <w:r>
        <w:t>（1）收入项目预算情况</w:t>
      </w:r>
    </w:p>
    <w:p w14:paraId="7BC90A45">
      <w:r>
        <w:rPr>
          <w:rFonts w:hint="eastAsia"/>
        </w:rPr>
        <w:t>高</w:t>
      </w:r>
      <w:r>
        <w:t>新区一般公共预算收入预计</w:t>
      </w:r>
      <w:r>
        <w:rPr>
          <w:rFonts w:hint="eastAsia"/>
        </w:rPr>
        <w:t>140,383</w:t>
      </w:r>
      <w:r>
        <w:t>万元，增长</w:t>
      </w:r>
      <w:r>
        <w:rPr>
          <w:rFonts w:hint="eastAsia"/>
        </w:rPr>
        <w:t>62</w:t>
      </w:r>
      <w:r>
        <w:t>%。其中税收收入</w:t>
      </w:r>
      <w:r>
        <w:rPr>
          <w:rFonts w:hint="eastAsia"/>
        </w:rPr>
        <w:t>87,848</w:t>
      </w:r>
      <w:r>
        <w:t>万元，增长</w:t>
      </w:r>
      <w:r>
        <w:rPr>
          <w:rFonts w:hint="eastAsia"/>
        </w:rPr>
        <w:t>7</w:t>
      </w:r>
      <w:r>
        <w:t>%</w:t>
      </w:r>
      <w:r>
        <w:rPr>
          <w:rFonts w:hint="eastAsia"/>
        </w:rPr>
        <w:t>，非税收入52,535万元，增长923%。</w:t>
      </w:r>
      <w:r>
        <w:t>一般公共预算收入加上上级补助收入4,</w:t>
      </w:r>
      <w:r>
        <w:rPr>
          <w:rFonts w:hint="eastAsia"/>
        </w:rPr>
        <w:t>451</w:t>
      </w:r>
      <w:r>
        <w:t>万元</w:t>
      </w:r>
      <w:r>
        <w:rPr>
          <w:rFonts w:hint="eastAsia"/>
        </w:rPr>
        <w:t>、</w:t>
      </w:r>
      <w:r>
        <w:t>上年结</w:t>
      </w:r>
      <w:r>
        <w:rPr>
          <w:rFonts w:hint="eastAsia"/>
        </w:rPr>
        <w:t>转3,149</w:t>
      </w:r>
      <w:r>
        <w:t>万元</w:t>
      </w:r>
      <w:r>
        <w:rPr>
          <w:rFonts w:hint="eastAsia"/>
        </w:rPr>
        <w:t>后，</w:t>
      </w:r>
      <w:r>
        <w:t>收入总量</w:t>
      </w:r>
      <w:r>
        <w:rPr>
          <w:rFonts w:hint="eastAsia"/>
        </w:rPr>
        <w:t>147,983</w:t>
      </w:r>
      <w:r>
        <w:t>万元。</w:t>
      </w:r>
    </w:p>
    <w:p w14:paraId="1EE723D5">
      <w:r>
        <w:t>（2）支出项目预算情况</w:t>
      </w:r>
    </w:p>
    <w:p w14:paraId="5ED2E7EB">
      <w:r>
        <w:rPr>
          <w:rFonts w:hint="eastAsia"/>
        </w:rPr>
        <w:t>高</w:t>
      </w:r>
      <w:r>
        <w:t>新区一般公共预算支出安排</w:t>
      </w:r>
      <w:r>
        <w:rPr>
          <w:rFonts w:hint="eastAsia"/>
        </w:rPr>
        <w:t>137,446</w:t>
      </w:r>
      <w:r>
        <w:t>万元，加上上解支出</w:t>
      </w:r>
      <w:r>
        <w:rPr>
          <w:rFonts w:hint="eastAsia"/>
        </w:rPr>
        <w:t>10,537</w:t>
      </w:r>
      <w:r>
        <w:t>万元</w:t>
      </w:r>
      <w:r>
        <w:rPr>
          <w:rFonts w:hint="eastAsia"/>
        </w:rPr>
        <w:t>后</w:t>
      </w:r>
      <w:r>
        <w:t>（包括李渡街道</w:t>
      </w:r>
      <w:r>
        <w:rPr>
          <w:rFonts w:hint="eastAsia"/>
        </w:rPr>
        <w:t>4</w:t>
      </w:r>
      <w:r>
        <w:t>,</w:t>
      </w:r>
      <w:r>
        <w:rPr>
          <w:rFonts w:hint="eastAsia"/>
        </w:rPr>
        <w:t>760</w:t>
      </w:r>
      <w:r>
        <w:t>万元、债券利息</w:t>
      </w:r>
      <w:r>
        <w:rPr>
          <w:rFonts w:hint="eastAsia"/>
        </w:rPr>
        <w:t>3,780万元，</w:t>
      </w:r>
      <w:r>
        <w:t>其他上解</w:t>
      </w:r>
      <w:r>
        <w:rPr>
          <w:rFonts w:hint="eastAsia"/>
        </w:rPr>
        <w:t>1</w:t>
      </w:r>
      <w:r>
        <w:t>,</w:t>
      </w:r>
      <w:r>
        <w:rPr>
          <w:rFonts w:hint="eastAsia"/>
        </w:rPr>
        <w:t>997</w:t>
      </w:r>
      <w:r>
        <w:t>万元），支出总量</w:t>
      </w:r>
      <w:r>
        <w:rPr>
          <w:rFonts w:hint="eastAsia"/>
        </w:rPr>
        <w:t>147,983</w:t>
      </w:r>
      <w:r>
        <w:t>万元。具体情况是：</w:t>
      </w:r>
    </w:p>
    <w:p w14:paraId="74E9BF8F">
      <w:r>
        <w:t>——一般公共服务支出</w:t>
      </w:r>
      <w:r>
        <w:rPr>
          <w:rFonts w:hint="eastAsia"/>
        </w:rPr>
        <w:t>13,970</w:t>
      </w:r>
      <w:r>
        <w:t>万元，</w:t>
      </w:r>
      <w:r>
        <w:rPr>
          <w:rStyle w:val="10"/>
          <w:rFonts w:hint="eastAsia" w:hAnsi="微软雅黑"/>
          <w:kern w:val="0"/>
        </w:rPr>
        <w:t>主要用于保障党政机关、人大、政府办公室、纪检、群</w:t>
      </w:r>
      <w:r>
        <w:rPr>
          <w:rStyle w:val="10"/>
          <w:rFonts w:hint="eastAsia"/>
        </w:rPr>
        <w:t>团、财政等正常运转</w:t>
      </w:r>
      <w:r>
        <w:t>；</w:t>
      </w:r>
    </w:p>
    <w:p w14:paraId="6E960AA7">
      <w:r>
        <w:t>——公共安全支出</w:t>
      </w:r>
      <w:r>
        <w:rPr>
          <w:rFonts w:hint="eastAsia"/>
        </w:rPr>
        <w:t>700</w:t>
      </w:r>
      <w:r>
        <w:t>万元，</w:t>
      </w:r>
      <w:r>
        <w:rPr>
          <w:rStyle w:val="10"/>
          <w:rFonts w:hint="eastAsia"/>
        </w:rPr>
        <w:t>主要用于保障公安等单位履职需要，维护社会公平和公共安全</w:t>
      </w:r>
      <w:r>
        <w:t>；</w:t>
      </w:r>
    </w:p>
    <w:p w14:paraId="270CB07E">
      <w:r>
        <w:t>——</w:t>
      </w:r>
      <w:r>
        <w:rPr>
          <w:rFonts w:hint="eastAsia"/>
        </w:rPr>
        <w:t>教育支出2,000万元，</w:t>
      </w:r>
      <w:r>
        <w:rPr>
          <w:rStyle w:val="10"/>
          <w:rFonts w:hint="eastAsia"/>
          <w:color w:val="000000" w:themeColor="text1"/>
        </w:rPr>
        <w:t>主要用于</w:t>
      </w:r>
      <w:r>
        <w:rPr>
          <w:rFonts w:hint="eastAsia"/>
        </w:rPr>
        <w:t>支持园区教育事业相关支出；</w:t>
      </w:r>
    </w:p>
    <w:p w14:paraId="19DDA325">
      <w:r>
        <w:t>——</w:t>
      </w:r>
      <w:r>
        <w:rPr>
          <w:rFonts w:hint="eastAsia"/>
        </w:rPr>
        <w:t>科学技术支出8,000万元，</w:t>
      </w:r>
      <w:r>
        <w:rPr>
          <w:rStyle w:val="10"/>
          <w:rFonts w:hint="eastAsia"/>
          <w:color w:val="000000" w:themeColor="text1"/>
        </w:rPr>
        <w:t>主要用于支持园区企业科技创新</w:t>
      </w:r>
      <w:r>
        <w:rPr>
          <w:rFonts w:hint="eastAsia"/>
        </w:rPr>
        <w:t>；</w:t>
      </w:r>
    </w:p>
    <w:p w14:paraId="03D0C2F4">
      <w:r>
        <w:t>——文化体育与传媒支出</w:t>
      </w:r>
      <w:r>
        <w:rPr>
          <w:rFonts w:hint="eastAsia"/>
        </w:rPr>
        <w:t>264</w:t>
      </w:r>
      <w:r>
        <w:t>万元，</w:t>
      </w:r>
      <w:r>
        <w:rPr>
          <w:rStyle w:val="10"/>
        </w:rPr>
        <w:t>，</w:t>
      </w:r>
      <w:r>
        <w:rPr>
          <w:rStyle w:val="10"/>
          <w:rFonts w:hint="eastAsia"/>
        </w:rPr>
        <w:t>主要用于保障文化体育等事业支出</w:t>
      </w:r>
      <w:r>
        <w:t>；</w:t>
      </w:r>
    </w:p>
    <w:p w14:paraId="28FD82DE">
      <w:r>
        <w:t>——社会保障和就业支出</w:t>
      </w:r>
      <w:r>
        <w:rPr>
          <w:rFonts w:hint="eastAsia"/>
        </w:rPr>
        <w:t>705</w:t>
      </w:r>
      <w:r>
        <w:t>万元，</w:t>
      </w:r>
      <w:r>
        <w:rPr>
          <w:rStyle w:val="10"/>
          <w:rFonts w:hint="eastAsia"/>
        </w:rPr>
        <w:t>主要用于保障就业、抚恤、退役安置、社会福利等支出</w:t>
      </w:r>
      <w:r>
        <w:t>；</w:t>
      </w:r>
    </w:p>
    <w:p w14:paraId="13CC8B13">
      <w:r>
        <w:t>——卫生健康支出</w:t>
      </w:r>
      <w:r>
        <w:rPr>
          <w:rFonts w:hint="eastAsia"/>
        </w:rPr>
        <w:t>466</w:t>
      </w:r>
      <w:r>
        <w:t>万元，</w:t>
      </w:r>
      <w:r>
        <w:rPr>
          <w:rStyle w:val="10"/>
          <w:rFonts w:hint="eastAsia"/>
        </w:rPr>
        <w:t>主要用于保障公共卫生、医疗救助等支出</w:t>
      </w:r>
      <w:r>
        <w:t>；</w:t>
      </w:r>
    </w:p>
    <w:p w14:paraId="5CCCF856">
      <w:r>
        <w:t>——节能环保支出</w:t>
      </w:r>
      <w:r>
        <w:rPr>
          <w:rFonts w:hint="eastAsia"/>
        </w:rPr>
        <w:t>167</w:t>
      </w:r>
      <w:r>
        <w:t>万元，</w:t>
      </w:r>
      <w:r>
        <w:rPr>
          <w:rStyle w:val="10"/>
          <w:rFonts w:hint="eastAsia"/>
        </w:rPr>
        <w:t>主要用于保障节能环保事业支出</w:t>
      </w:r>
      <w:r>
        <w:t>；</w:t>
      </w:r>
    </w:p>
    <w:p w14:paraId="2ACF3BA2">
      <w:r>
        <w:t>——城乡社区支出</w:t>
      </w:r>
      <w:r>
        <w:rPr>
          <w:rFonts w:hint="eastAsia"/>
        </w:rPr>
        <w:t>13,580</w:t>
      </w:r>
      <w:r>
        <w:t>万元，</w:t>
      </w:r>
      <w:r>
        <w:rPr>
          <w:rStyle w:val="10"/>
          <w:rFonts w:hint="eastAsia"/>
        </w:rPr>
        <w:t>主要用于保障住建、城管等事业支出</w:t>
      </w:r>
      <w:r>
        <w:t>；</w:t>
      </w:r>
    </w:p>
    <w:p w14:paraId="427F792E">
      <w:r>
        <w:t>——农林水支出</w:t>
      </w:r>
      <w:r>
        <w:rPr>
          <w:rFonts w:hint="eastAsia"/>
        </w:rPr>
        <w:t>2,006</w:t>
      </w:r>
      <w:r>
        <w:t>万元，</w:t>
      </w:r>
      <w:r>
        <w:rPr>
          <w:rStyle w:val="10"/>
          <w:rFonts w:hint="eastAsia"/>
        </w:rPr>
        <w:t>主要用于保障农业、林业、水利、扶贫等事业支出</w:t>
      </w:r>
      <w:r>
        <w:t>；</w:t>
      </w:r>
    </w:p>
    <w:p w14:paraId="444DAABA">
      <w:r>
        <w:t>——资源勘探工业信息等支出</w:t>
      </w:r>
      <w:r>
        <w:rPr>
          <w:rFonts w:hint="eastAsia"/>
        </w:rPr>
        <w:t>93,762</w:t>
      </w:r>
      <w:r>
        <w:t>万元</w:t>
      </w:r>
      <w:r>
        <w:rPr>
          <w:rFonts w:hint="eastAsia"/>
        </w:rPr>
        <w:t>，</w:t>
      </w:r>
      <w:r>
        <w:rPr>
          <w:rStyle w:val="10"/>
          <w:rFonts w:hint="eastAsia"/>
        </w:rPr>
        <w:t>主要用于保障制造业、工业和信息产业、支持中小企业发展等方面支出</w:t>
      </w:r>
      <w:r>
        <w:t>；</w:t>
      </w:r>
    </w:p>
    <w:p w14:paraId="37F8557B">
      <w:r>
        <w:t>——住房保障支出</w:t>
      </w:r>
      <w:r>
        <w:rPr>
          <w:rFonts w:hint="eastAsia"/>
        </w:rPr>
        <w:t>226</w:t>
      </w:r>
      <w:r>
        <w:t>万元</w:t>
      </w:r>
      <w:r>
        <w:rPr>
          <w:rFonts w:hint="eastAsia"/>
        </w:rPr>
        <w:t>，</w:t>
      </w:r>
      <w:r>
        <w:rPr>
          <w:rStyle w:val="10"/>
          <w:rFonts w:hint="eastAsia"/>
        </w:rPr>
        <w:t>主要用于保障住房公积金等支出</w:t>
      </w:r>
      <w:r>
        <w:t>；</w:t>
      </w:r>
    </w:p>
    <w:p w14:paraId="4E94F5E8">
      <w:r>
        <w:t>——预备费</w:t>
      </w:r>
      <w:r>
        <w:rPr>
          <w:rFonts w:hint="eastAsia"/>
        </w:rPr>
        <w:t>1,600</w:t>
      </w:r>
      <w:r>
        <w:t>万元</w:t>
      </w:r>
      <w:r>
        <w:rPr>
          <w:rFonts w:hint="eastAsia"/>
        </w:rPr>
        <w:t>，</w:t>
      </w:r>
      <w:r>
        <w:rPr>
          <w:rStyle w:val="10"/>
          <w:rFonts w:hint="eastAsia"/>
          <w:color w:val="000000" w:themeColor="text1"/>
        </w:rPr>
        <w:t>用于当年预算执行中的突发事件处理增加的支出及其他难以预见的支出</w:t>
      </w:r>
      <w:r>
        <w:t>。</w:t>
      </w:r>
    </w:p>
    <w:p w14:paraId="47199692">
      <w:r>
        <w:t>2</w:t>
      </w:r>
      <w:r>
        <w:rPr>
          <w:rFonts w:hint="eastAsia"/>
        </w:rPr>
        <w:t xml:space="preserve">. </w:t>
      </w:r>
      <w:r>
        <w:t>政府性基金预算收支</w:t>
      </w:r>
    </w:p>
    <w:p w14:paraId="4861B2BC">
      <w:r>
        <w:rPr>
          <w:rFonts w:hint="eastAsia"/>
        </w:rPr>
        <w:t>高</w:t>
      </w:r>
      <w:r>
        <w:t>新区政府性基金收入预计</w:t>
      </w:r>
      <w:r>
        <w:rPr>
          <w:rFonts w:hint="eastAsia"/>
        </w:rPr>
        <w:t>281,000</w:t>
      </w:r>
      <w:r>
        <w:t>万元，主要是国有土地使用权出让金收入、国有土地收益基金收入和城市基础设施配套费收入，加上上年结</w:t>
      </w:r>
      <w:r>
        <w:rPr>
          <w:rFonts w:hint="eastAsia"/>
        </w:rPr>
        <w:t>转17,851</w:t>
      </w:r>
      <w:r>
        <w:t>万元</w:t>
      </w:r>
      <w:r>
        <w:rPr>
          <w:rFonts w:hint="eastAsia"/>
        </w:rPr>
        <w:t>后</w:t>
      </w:r>
      <w:r>
        <w:t>，收入总量</w:t>
      </w:r>
      <w:r>
        <w:rPr>
          <w:rFonts w:hint="eastAsia"/>
        </w:rPr>
        <w:t>298,851</w:t>
      </w:r>
      <w:r>
        <w:t>万元。</w:t>
      </w:r>
    </w:p>
    <w:p w14:paraId="5081A33A">
      <w:r>
        <w:rPr>
          <w:rFonts w:hint="eastAsia"/>
        </w:rPr>
        <w:t>高</w:t>
      </w:r>
      <w:r>
        <w:t>新区本级政府性基金支出安排</w:t>
      </w:r>
      <w:r>
        <w:rPr>
          <w:rFonts w:hint="eastAsia"/>
        </w:rPr>
        <w:t>172,726</w:t>
      </w:r>
      <w:r>
        <w:t>万元，主要用于征地拆迁补偿支出、</w:t>
      </w:r>
      <w:r>
        <w:rPr>
          <w:rFonts w:hint="eastAsia"/>
        </w:rPr>
        <w:t>辖区基础设施建设</w:t>
      </w:r>
      <w:r>
        <w:t>等，加上上解支出</w:t>
      </w:r>
      <w:r>
        <w:rPr>
          <w:rFonts w:hint="eastAsia"/>
        </w:rPr>
        <w:t>126,125</w:t>
      </w:r>
      <w:r>
        <w:t>万元</w:t>
      </w:r>
      <w:r>
        <w:rPr>
          <w:rFonts w:hint="eastAsia"/>
        </w:rPr>
        <w:t>后</w:t>
      </w:r>
      <w:r>
        <w:t>，支出总量</w:t>
      </w:r>
      <w:r>
        <w:rPr>
          <w:rFonts w:hint="eastAsia"/>
        </w:rPr>
        <w:t>298,851</w:t>
      </w:r>
      <w:r>
        <w:t>万元。</w:t>
      </w:r>
    </w:p>
    <w:p w14:paraId="162D526A">
      <w:r>
        <w:rPr>
          <w:rFonts w:hint="eastAsia"/>
        </w:rPr>
        <w:t>3. 国有资本经营预算收支</w:t>
      </w:r>
    </w:p>
    <w:p w14:paraId="02EF1C8D">
      <w:r>
        <w:rPr>
          <w:rFonts w:hint="eastAsia"/>
        </w:rPr>
        <w:t>高</w:t>
      </w:r>
      <w:r>
        <w:t>新区</w:t>
      </w:r>
      <w:r>
        <w:rPr>
          <w:rFonts w:hint="eastAsia"/>
        </w:rPr>
        <w:t>未预算国有资本经营预算收支。</w:t>
      </w:r>
    </w:p>
    <w:p w14:paraId="42E6EF6F">
      <w:pPr>
        <w:rPr>
          <w:rFonts w:ascii="方正楷体_GBK" w:eastAsia="方正楷体_GBK"/>
        </w:rPr>
      </w:pPr>
      <w:r>
        <w:rPr>
          <w:rFonts w:hint="eastAsia" w:ascii="方正楷体_GBK" w:eastAsia="方正楷体_GBK"/>
        </w:rPr>
        <w:t>（三）2024年财政主要工作</w:t>
      </w:r>
    </w:p>
    <w:p w14:paraId="5B56B545">
      <w:r>
        <w:rPr>
          <w:rFonts w:hint="eastAsia"/>
        </w:rPr>
        <w:t>2024年，高新区财政工作将进一步理清思路、加强谋划，细化措施、狠抓落实，充分发挥财政力量，持续推动经济实现质的有效提升和量的合理增长，以实干实绩实效为加快建设“三高地三示范区”体现新担当，作出新贡献。</w:t>
      </w:r>
    </w:p>
    <w:p w14:paraId="3C99B3B2">
      <w:pPr>
        <w:numPr>
          <w:ilvl w:val="0"/>
          <w:numId w:val="1"/>
        </w:numPr>
      </w:pPr>
      <w:r>
        <w:rPr>
          <w:rFonts w:hint="eastAsia"/>
        </w:rPr>
        <w:t>进一步培植财源，增强财政保障能力</w:t>
      </w:r>
    </w:p>
    <w:p w14:paraId="6311CC97">
      <w:r>
        <w:rPr>
          <w:rFonts w:hint="eastAsia"/>
        </w:rPr>
        <w:t>一是着力抓好收入征管和财源培植工作，协调税务机关加强税款征收，抓好重点税源管控工作，加大区外施工企业在园区建设项目产生税款的征收力度，确保税款不流失；成立工作专班，积极服务园区存量企业，力保税款不转移。二是配合做好供地计划，确保土地出让金及时入库。三是强化项目储备工作，积极争取上级专项资金，切实增加可用财力。</w:t>
      </w:r>
    </w:p>
    <w:p w14:paraId="707210F1">
      <w:r>
        <w:rPr>
          <w:rFonts w:hint="eastAsia"/>
        </w:rPr>
        <w:t>2. 进一步深化改革，推动管理</w:t>
      </w:r>
      <w:r>
        <w:rPr>
          <w:rFonts w:hint="eastAsia"/>
          <w:lang w:eastAsia="zh-CN"/>
        </w:rPr>
        <w:t>提质</w:t>
      </w:r>
      <w:bookmarkStart w:id="0" w:name="_GoBack"/>
      <w:bookmarkEnd w:id="0"/>
      <w:r>
        <w:rPr>
          <w:rFonts w:hint="eastAsia"/>
        </w:rPr>
        <w:t>增效</w:t>
      </w:r>
    </w:p>
    <w:p w14:paraId="51A7149F">
      <w:r>
        <w:rPr>
          <w:rFonts w:hint="eastAsia"/>
        </w:rPr>
        <w:t>一是严格按照《预算法》等相关要求，完善预算管理机制，认真执行预算人大备案审查制度。二是以预算一体化为抓手，全面实行预算项目全覆盖、全生命周期管理，着力提升预算编制水平，严格预算执行，注重绩效评价。三是积极适应开发区管理体制改革，凝聚更大合力，助推园区高质量发展。</w:t>
      </w:r>
    </w:p>
    <w:p w14:paraId="522EECB7">
      <w:r>
        <w:rPr>
          <w:rFonts w:hint="eastAsia"/>
        </w:rPr>
        <w:t>3. 进一步优化支出，提高资金使用效益</w:t>
      </w:r>
    </w:p>
    <w:p w14:paraId="3ACD9E3C">
      <w:r>
        <w:rPr>
          <w:rFonts w:hint="eastAsia"/>
        </w:rPr>
        <w:t>一是进一步落实“过紧日子”举措，加强财政资源统筹使用能力，优化支出结构，全力保障产业和民生项目建设。二是进一步加大公益性项目建设资金的监管力度，强化项目建设绩效评价工作。三是进一步加强扶持企业发展资金管理，修订完善相关管理办法，探索建立跟踪问效长期机制，不断促进财政资金支出提质增效。</w:t>
      </w:r>
    </w:p>
    <w:p w14:paraId="43EBA184">
      <w:r>
        <w:rPr>
          <w:rFonts w:hint="eastAsia"/>
        </w:rPr>
        <w:t>4. 进一步盘活资产，提升国有资产收益</w:t>
      </w:r>
    </w:p>
    <w:p w14:paraId="62DBFEC7">
      <w:r>
        <w:rPr>
          <w:rFonts w:hint="eastAsia"/>
        </w:rPr>
        <w:t>严格执行《涪陵区推动国有资产盘活工作方案》，全力推动国有资产盘活工作。一是深化清产核资，全面摸清底数，抓好权属登记、理顺产权关系。二是坚持分类盘活，聚焦房屋、土地、股权等重点资产，分类施策，激发资产效能，提升资产收益，把“沉睡资源”转化为“发展活水”。</w:t>
      </w:r>
    </w:p>
    <w:p w14:paraId="76FD1A45">
      <w:r>
        <w:rPr>
          <w:rFonts w:hint="eastAsia"/>
        </w:rPr>
        <w:t>5. 进一步统筹安全，筑牢风险防范底线</w:t>
      </w:r>
    </w:p>
    <w:p w14:paraId="3176A00C">
      <w:r>
        <w:rPr>
          <w:rFonts w:hint="eastAsia"/>
        </w:rPr>
        <w:t>一是积极化解存量债务，认真执行政府隐性债务化解方案，坚决做好金融风险防控工作。二是严控债务规模，确保不新增政府隐性债务。三是积极协助平台公司融资工作，确保资金链不断，坚决守住不发生系统性风险的底线。</w:t>
      </w:r>
    </w:p>
    <w:p w14:paraId="5A552786">
      <w:r>
        <w:rPr>
          <w:rFonts w:hint="eastAsia"/>
        </w:rPr>
        <w:t>6. 进一步落实整改，促进单位规范运行</w:t>
      </w:r>
    </w:p>
    <w:p w14:paraId="7F51668F">
      <w:r>
        <w:rPr>
          <w:rFonts w:hint="eastAsia"/>
        </w:rPr>
        <w:t>一是抓好部门党风廉政建设和反腐败斗争，坚守重要节点、紧盯薄弱环节，建设清正廉洁的财政干部队伍。二是充分发挥内部审计作用，认真查找财务管理薄弱环节，注重财政财务人员业务培训，增强专业素养，提升业务履职水平。三是积极落实各类审计整改工作，以问题为导向，以内控建设为契机，进一步完善管理制度。</w:t>
      </w:r>
    </w:p>
    <w:p w14:paraId="27310FF3"/>
    <w:p w14:paraId="685E99AE">
      <w:pPr>
        <w:spacing w:line="580" w:lineRule="exact"/>
        <w:rPr>
          <w:rStyle w:val="10"/>
          <w:color w:val="000000" w:themeColor="text1"/>
        </w:rPr>
      </w:pPr>
    </w:p>
    <w:p w14:paraId="356DCDDA">
      <w:pPr>
        <w:spacing w:line="600" w:lineRule="exact"/>
        <w:ind w:firstLine="880"/>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名 词 解 释</w:t>
      </w:r>
    </w:p>
    <w:p w14:paraId="1A3287EB">
      <w:pPr>
        <w:rPr>
          <w:color w:val="000000" w:themeColor="text1"/>
        </w:rPr>
      </w:pPr>
    </w:p>
    <w:p w14:paraId="33EFB037">
      <w:pPr>
        <w:rPr>
          <w:color w:val="000000" w:themeColor="text1"/>
        </w:rPr>
      </w:pPr>
      <w:r>
        <w:rPr>
          <w:rFonts w:hint="eastAsia"/>
          <w:color w:val="000000" w:themeColor="text1"/>
        </w:rPr>
        <w:t>1.三保支出：指保工资、保运转和保基本民生。</w:t>
      </w:r>
    </w:p>
    <w:p w14:paraId="78E3ACAB">
      <w:pPr>
        <w:rPr>
          <w:color w:val="000000" w:themeColor="text1"/>
        </w:rPr>
      </w:pPr>
      <w:r>
        <w:rPr>
          <w:rFonts w:hint="eastAsia"/>
          <w:color w:val="000000" w:themeColor="text1"/>
        </w:rPr>
        <w:t>2.预算管理一体化系统：由财政部制定全国统一的规范要求和系统技术标准，各省级财政部门建设的集预算编制、预算执行、决算和财务报告、资产管理、债务管理等业务环节为一体的信息化系统，将市县级预算数据集中到省级财政，并与财政部联网对接，通过嵌入系统的控制规则规范预算管理和硬化预算约束，为深化预算制度改革提供基础保障。</w:t>
      </w:r>
    </w:p>
    <w:p w14:paraId="0FB4DE0B">
      <w:pPr>
        <w:rPr>
          <w:color w:val="000000" w:themeColor="text1"/>
        </w:rPr>
      </w:pPr>
      <w:r>
        <w:rPr>
          <w:rFonts w:hint="eastAsia"/>
          <w:color w:val="000000" w:themeColor="text1"/>
        </w:rPr>
        <w:t>3.一般公共预算：指政府凭借国家政治权力，以社会管理者身份筹集以税收为主体的财政收入，用于保障和改善民生、维持国家行政职能正常运转、保障国家安全等方面的收支预算。</w:t>
      </w:r>
    </w:p>
    <w:p w14:paraId="68D2A1DB">
      <w:pPr>
        <w:rPr>
          <w:color w:val="000000" w:themeColor="text1"/>
        </w:rPr>
      </w:pPr>
      <w:r>
        <w:rPr>
          <w:rFonts w:hint="eastAsia"/>
          <w:color w:val="000000" w:themeColor="text1"/>
        </w:rPr>
        <w:t>4.政府性基金预算：指国家通过向社会征收以及出让土地、发行彩票等方式取得收入，并专项用于支持特定基础设施建设和社会事业发展的财政收支预算，是政府预算体系的重要组成部分。</w:t>
      </w:r>
    </w:p>
    <w:p w14:paraId="7C05DB96">
      <w:pPr>
        <w:rPr>
          <w:color w:val="000000" w:themeColor="text1"/>
        </w:rPr>
      </w:pPr>
      <w:r>
        <w:rPr>
          <w:rFonts w:hint="eastAsia"/>
          <w:color w:val="000000" w:themeColor="text1"/>
        </w:rPr>
        <w:t>5.绩效评价：指财政部门和预算部门（单位）根据设定的绩效目标，运用科学、合理的绩效评价指标、评价标准和评价方法，对财政支出的经济性、效率性和效益性进行客观、公正的评价。财政支出绩效评价是市场经济条件下现代财政科学管理的重要手段，建立和健全财政支出的追踪问效和问责制度，对提高财政资金的规范高效运作程度、增加财政资金的使用效果和效益、促进政府财力的可持续发展以及有效转变政府职能等都具有重大意义。</w:t>
      </w:r>
    </w:p>
    <w:p w14:paraId="090E195D">
      <w:pPr>
        <w:rPr>
          <w:rStyle w:val="10"/>
          <w:color w:val="000000" w:themeColor="text1"/>
        </w:rPr>
      </w:pPr>
      <w:r>
        <w:rPr>
          <w:rFonts w:hint="eastAsia"/>
          <w:color w:val="000000" w:themeColor="text1"/>
        </w:rPr>
        <w:t>6. 预备费：用于当年预算执行中的自然灾害等突发事件处理增加的支出及其他难以预见的支出。</w:t>
      </w:r>
    </w:p>
    <w:p w14:paraId="48478BD2"/>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NumType w:fmt="numberInDash"/>
      <w:cols w:space="425" w:num="1"/>
      <w:docGrid w:type="lines" w:linePitch="579" w:charSpace="7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7EC2F">
    <w:pPr>
      <w:pStyle w:val="4"/>
      <w:ind w:firstLine="360"/>
      <w:jc w:val="right"/>
    </w:pPr>
    <w:r>
      <w:pict>
        <v:shape id="_x0000_s4097" o:spid="_x0000_s4097" o:spt="202" type="#_x0000_t202" style="position:absolute;left:0pt;margin-top:0pt;height:56pt;width:41.25pt;mso-position-horizontal:righ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">
          <v:path arrowok="t"/>
          <v:fill on="f" focussize="0,0"/>
          <v:stroke on="f" joinstyle="miter"/>
          <v:imagedata o:title=""/>
          <o:lock v:ext="edit"/>
          <v:textbox inset="0mm,0mm,0mm,0mm" style="mso-fit-shape-to-text:t;">
            <w:txbxContent>
              <w:sdt>
                <w:sdtPr>
                  <w:id w:val="21108371"/>
                </w:sdtPr>
                <w:sdtContent>
                  <w:p w14:paraId="6D801122">
                    <w:pPr>
                      <w:pStyle w:val="4"/>
                      <w:ind w:firstLine="360"/>
                      <w:jc w:val="right"/>
                    </w:pPr>
                    <w:r>
                      <w:fldChar w:fldCharType="begin"/>
                    </w:r>
                    <w:r>
                      <w:instrText xml:space="preserve"> PAGE   \* MERGEFORMAT </w:instrText>
                    </w:r>
                    <w:r>
                      <w:fldChar w:fldCharType="separate"/>
                    </w:r>
                    <w:r>
                      <w:rPr>
                        <w:lang w:val="zh-CN"/>
                      </w:rPr>
                      <w:t>-</w:t>
                    </w:r>
                    <w:r>
                      <w:t xml:space="preserve"> 11 -</w:t>
                    </w:r>
                    <w:r>
                      <w:fldChar w:fldCharType="end"/>
                    </w:r>
                  </w:p>
                </w:sdtContent>
              </w:sdt>
              <w:p w14:paraId="3E7C7E8D"/>
            </w:txbxContent>
          </v:textbox>
        </v:shape>
      </w:pict>
    </w:r>
  </w:p>
  <w:p w14:paraId="5F231137">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BD119">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62F5">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EF305">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9C789">
    <w:pPr>
      <w:pStyle w:val="5"/>
      <w:ind w:firstLine="360"/>
    </w:pPr>
  </w:p>
  <w:p w14:paraId="52A2A801"/>
  <w:p w14:paraId="30B31CE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954A">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20319"/>
    <w:multiLevelType w:val="singleLevel"/>
    <w:tmpl w:val="D952031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embedSystemFonts/>
  <w:bordersDoNotSurroundHeader w:val="1"/>
  <w:bordersDoNotSurroundFooter w:val="1"/>
  <w:documentProtection w:enforcement="0"/>
  <w:defaultTabStop w:val="420"/>
  <w:drawingGridHorizontalSpacing w:val="178"/>
  <w:drawingGridVerticalSpacing w:val="579"/>
  <w:displayHorizontalDrawingGridEvery w:val="0"/>
  <w:noPunctuationKerning w:val="1"/>
  <w:characterSpacingControl w:val="doNotCompress"/>
  <w:hdrShapeDefaults>
    <o:shapelayout v:ext="edit">
      <o:idmap v:ext="edit" data="4"/>
    </o:shapelayout>
  </w:hdrShapeDefaults>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2"/>
  </w:compat>
  <w:docVars>
    <w:docVar w:name="commondata" w:val="eyJoZGlkIjoiZDdiMTFhNDk1ZGRiMTJlY2I4NTZhYzI4YjQ4NDMwZGIifQ=="/>
  </w:docVars>
  <w:rsids>
    <w:rsidRoot w:val="00953835"/>
    <w:rsid w:val="00000D4C"/>
    <w:rsid w:val="00002AAA"/>
    <w:rsid w:val="00003C9B"/>
    <w:rsid w:val="000051A3"/>
    <w:rsid w:val="0000657B"/>
    <w:rsid w:val="00017E12"/>
    <w:rsid w:val="000210EE"/>
    <w:rsid w:val="00026B1E"/>
    <w:rsid w:val="00033717"/>
    <w:rsid w:val="00047DD7"/>
    <w:rsid w:val="00051FD8"/>
    <w:rsid w:val="00053BA4"/>
    <w:rsid w:val="000573B8"/>
    <w:rsid w:val="00065738"/>
    <w:rsid w:val="0007622E"/>
    <w:rsid w:val="000769C1"/>
    <w:rsid w:val="00080DE2"/>
    <w:rsid w:val="00082506"/>
    <w:rsid w:val="000831E5"/>
    <w:rsid w:val="00083E23"/>
    <w:rsid w:val="00086443"/>
    <w:rsid w:val="000A02AA"/>
    <w:rsid w:val="000A24F5"/>
    <w:rsid w:val="000A6C36"/>
    <w:rsid w:val="000B3CA0"/>
    <w:rsid w:val="000D1F68"/>
    <w:rsid w:val="000E401B"/>
    <w:rsid w:val="000E5662"/>
    <w:rsid w:val="00103199"/>
    <w:rsid w:val="00122E4E"/>
    <w:rsid w:val="00127D79"/>
    <w:rsid w:val="001345FE"/>
    <w:rsid w:val="00134D96"/>
    <w:rsid w:val="00141040"/>
    <w:rsid w:val="00156B9E"/>
    <w:rsid w:val="0016190B"/>
    <w:rsid w:val="001A0D93"/>
    <w:rsid w:val="001A6F71"/>
    <w:rsid w:val="001A6FB9"/>
    <w:rsid w:val="001C21AC"/>
    <w:rsid w:val="001C3F64"/>
    <w:rsid w:val="001D1025"/>
    <w:rsid w:val="001D255E"/>
    <w:rsid w:val="001D44DC"/>
    <w:rsid w:val="001E03D1"/>
    <w:rsid w:val="001E4FD9"/>
    <w:rsid w:val="001F0667"/>
    <w:rsid w:val="002015DF"/>
    <w:rsid w:val="00217A8D"/>
    <w:rsid w:val="002251B4"/>
    <w:rsid w:val="00226DD0"/>
    <w:rsid w:val="00227588"/>
    <w:rsid w:val="00231803"/>
    <w:rsid w:val="002322BE"/>
    <w:rsid w:val="002348EC"/>
    <w:rsid w:val="00237170"/>
    <w:rsid w:val="00245F3E"/>
    <w:rsid w:val="002473C7"/>
    <w:rsid w:val="002501F1"/>
    <w:rsid w:val="00252AFA"/>
    <w:rsid w:val="00264115"/>
    <w:rsid w:val="002662D8"/>
    <w:rsid w:val="00272C67"/>
    <w:rsid w:val="00274229"/>
    <w:rsid w:val="00276229"/>
    <w:rsid w:val="0027725A"/>
    <w:rsid w:val="0027740B"/>
    <w:rsid w:val="002806BC"/>
    <w:rsid w:val="00283CCA"/>
    <w:rsid w:val="00284532"/>
    <w:rsid w:val="00290D3A"/>
    <w:rsid w:val="00291640"/>
    <w:rsid w:val="002A6DCE"/>
    <w:rsid w:val="002B6DB6"/>
    <w:rsid w:val="002C024D"/>
    <w:rsid w:val="002C080E"/>
    <w:rsid w:val="002C35A8"/>
    <w:rsid w:val="002C69BF"/>
    <w:rsid w:val="002F1581"/>
    <w:rsid w:val="002F23BC"/>
    <w:rsid w:val="002F4207"/>
    <w:rsid w:val="003046C2"/>
    <w:rsid w:val="00304924"/>
    <w:rsid w:val="0030661A"/>
    <w:rsid w:val="00311342"/>
    <w:rsid w:val="0031198A"/>
    <w:rsid w:val="003130D9"/>
    <w:rsid w:val="00316C9C"/>
    <w:rsid w:val="003249CA"/>
    <w:rsid w:val="00326707"/>
    <w:rsid w:val="00327CF3"/>
    <w:rsid w:val="003334DB"/>
    <w:rsid w:val="00345F17"/>
    <w:rsid w:val="0035086A"/>
    <w:rsid w:val="003566A5"/>
    <w:rsid w:val="00363BB1"/>
    <w:rsid w:val="00366AF5"/>
    <w:rsid w:val="00374B82"/>
    <w:rsid w:val="00375774"/>
    <w:rsid w:val="003818DD"/>
    <w:rsid w:val="0038245B"/>
    <w:rsid w:val="0038431F"/>
    <w:rsid w:val="0038530C"/>
    <w:rsid w:val="003859F8"/>
    <w:rsid w:val="003A4B69"/>
    <w:rsid w:val="003B1168"/>
    <w:rsid w:val="003B7D68"/>
    <w:rsid w:val="003C1679"/>
    <w:rsid w:val="003C2FB0"/>
    <w:rsid w:val="003C7BB1"/>
    <w:rsid w:val="003D4B86"/>
    <w:rsid w:val="003E2B65"/>
    <w:rsid w:val="003E471E"/>
    <w:rsid w:val="003E4CBF"/>
    <w:rsid w:val="003E57BB"/>
    <w:rsid w:val="003E68DB"/>
    <w:rsid w:val="003F2918"/>
    <w:rsid w:val="003F6E7C"/>
    <w:rsid w:val="003F7EB6"/>
    <w:rsid w:val="004031FD"/>
    <w:rsid w:val="00404BB7"/>
    <w:rsid w:val="00405061"/>
    <w:rsid w:val="00413007"/>
    <w:rsid w:val="00424E39"/>
    <w:rsid w:val="0042627E"/>
    <w:rsid w:val="004267D1"/>
    <w:rsid w:val="004305C1"/>
    <w:rsid w:val="00436E45"/>
    <w:rsid w:val="004430E5"/>
    <w:rsid w:val="004450E1"/>
    <w:rsid w:val="0044735D"/>
    <w:rsid w:val="0046159E"/>
    <w:rsid w:val="00461A85"/>
    <w:rsid w:val="00463749"/>
    <w:rsid w:val="00463B71"/>
    <w:rsid w:val="00464B12"/>
    <w:rsid w:val="004735DB"/>
    <w:rsid w:val="00482E9C"/>
    <w:rsid w:val="00486694"/>
    <w:rsid w:val="00490BB8"/>
    <w:rsid w:val="0049150B"/>
    <w:rsid w:val="004932B3"/>
    <w:rsid w:val="00494DAC"/>
    <w:rsid w:val="004A3116"/>
    <w:rsid w:val="004A49B7"/>
    <w:rsid w:val="004A6F2D"/>
    <w:rsid w:val="004B19D7"/>
    <w:rsid w:val="004C1C96"/>
    <w:rsid w:val="004C4404"/>
    <w:rsid w:val="004D42A9"/>
    <w:rsid w:val="004D455A"/>
    <w:rsid w:val="004D4924"/>
    <w:rsid w:val="004E6979"/>
    <w:rsid w:val="004E788F"/>
    <w:rsid w:val="004F09EF"/>
    <w:rsid w:val="004F2F90"/>
    <w:rsid w:val="004F658A"/>
    <w:rsid w:val="004F6F3B"/>
    <w:rsid w:val="00507547"/>
    <w:rsid w:val="00512932"/>
    <w:rsid w:val="00514BFA"/>
    <w:rsid w:val="0051552D"/>
    <w:rsid w:val="00515723"/>
    <w:rsid w:val="005378B5"/>
    <w:rsid w:val="00541EB6"/>
    <w:rsid w:val="00542131"/>
    <w:rsid w:val="00551E85"/>
    <w:rsid w:val="00555848"/>
    <w:rsid w:val="00560342"/>
    <w:rsid w:val="00561C9F"/>
    <w:rsid w:val="00570A1A"/>
    <w:rsid w:val="00573A00"/>
    <w:rsid w:val="00580AC4"/>
    <w:rsid w:val="005866DB"/>
    <w:rsid w:val="00586EBF"/>
    <w:rsid w:val="005909A2"/>
    <w:rsid w:val="0059758B"/>
    <w:rsid w:val="005A0592"/>
    <w:rsid w:val="005A2650"/>
    <w:rsid w:val="005A5C8F"/>
    <w:rsid w:val="005B5B89"/>
    <w:rsid w:val="005C0BDE"/>
    <w:rsid w:val="005C3E16"/>
    <w:rsid w:val="005D2A84"/>
    <w:rsid w:val="005D589D"/>
    <w:rsid w:val="005D5E00"/>
    <w:rsid w:val="005E505A"/>
    <w:rsid w:val="005E7D69"/>
    <w:rsid w:val="005F1090"/>
    <w:rsid w:val="005F4E2F"/>
    <w:rsid w:val="006063DA"/>
    <w:rsid w:val="0061151D"/>
    <w:rsid w:val="00611EC4"/>
    <w:rsid w:val="006128D2"/>
    <w:rsid w:val="006264FD"/>
    <w:rsid w:val="00632C0A"/>
    <w:rsid w:val="00640D66"/>
    <w:rsid w:val="00640F6C"/>
    <w:rsid w:val="00646A68"/>
    <w:rsid w:val="0065072F"/>
    <w:rsid w:val="00651812"/>
    <w:rsid w:val="00651B2F"/>
    <w:rsid w:val="0065257A"/>
    <w:rsid w:val="00656B15"/>
    <w:rsid w:val="00657F0A"/>
    <w:rsid w:val="006605BA"/>
    <w:rsid w:val="00660BDD"/>
    <w:rsid w:val="00665D90"/>
    <w:rsid w:val="006676A1"/>
    <w:rsid w:val="00673E1B"/>
    <w:rsid w:val="00682675"/>
    <w:rsid w:val="00692705"/>
    <w:rsid w:val="0069343E"/>
    <w:rsid w:val="006A1C40"/>
    <w:rsid w:val="006A363C"/>
    <w:rsid w:val="006B0420"/>
    <w:rsid w:val="006B04B0"/>
    <w:rsid w:val="006B149E"/>
    <w:rsid w:val="006B7ECE"/>
    <w:rsid w:val="006C3A94"/>
    <w:rsid w:val="006C5653"/>
    <w:rsid w:val="006C60B4"/>
    <w:rsid w:val="006C707C"/>
    <w:rsid w:val="006C7152"/>
    <w:rsid w:val="006D47B2"/>
    <w:rsid w:val="006D7134"/>
    <w:rsid w:val="006D733F"/>
    <w:rsid w:val="006E501C"/>
    <w:rsid w:val="006E5CA5"/>
    <w:rsid w:val="006E6917"/>
    <w:rsid w:val="006F2ECE"/>
    <w:rsid w:val="006F409C"/>
    <w:rsid w:val="006F5143"/>
    <w:rsid w:val="00713A44"/>
    <w:rsid w:val="007432BE"/>
    <w:rsid w:val="00752B05"/>
    <w:rsid w:val="007535EB"/>
    <w:rsid w:val="0075392B"/>
    <w:rsid w:val="00764842"/>
    <w:rsid w:val="00771597"/>
    <w:rsid w:val="007755BE"/>
    <w:rsid w:val="0078135F"/>
    <w:rsid w:val="00781610"/>
    <w:rsid w:val="00784CD5"/>
    <w:rsid w:val="007B39AA"/>
    <w:rsid w:val="007B3A23"/>
    <w:rsid w:val="007C4CD8"/>
    <w:rsid w:val="007D4130"/>
    <w:rsid w:val="007E076D"/>
    <w:rsid w:val="007E0780"/>
    <w:rsid w:val="007E5C9E"/>
    <w:rsid w:val="007F336A"/>
    <w:rsid w:val="007F3F36"/>
    <w:rsid w:val="007F67AE"/>
    <w:rsid w:val="008037E8"/>
    <w:rsid w:val="0080600C"/>
    <w:rsid w:val="00816E39"/>
    <w:rsid w:val="00821CF9"/>
    <w:rsid w:val="008649D9"/>
    <w:rsid w:val="00873289"/>
    <w:rsid w:val="00882E47"/>
    <w:rsid w:val="00890334"/>
    <w:rsid w:val="0089390B"/>
    <w:rsid w:val="00893C7D"/>
    <w:rsid w:val="008959F1"/>
    <w:rsid w:val="008A3E75"/>
    <w:rsid w:val="008A44BE"/>
    <w:rsid w:val="008A7E87"/>
    <w:rsid w:val="008B5133"/>
    <w:rsid w:val="008B585C"/>
    <w:rsid w:val="008C4246"/>
    <w:rsid w:val="008D6419"/>
    <w:rsid w:val="008E2CEC"/>
    <w:rsid w:val="008F3229"/>
    <w:rsid w:val="008F3F3D"/>
    <w:rsid w:val="008F5293"/>
    <w:rsid w:val="009008C3"/>
    <w:rsid w:val="009164D4"/>
    <w:rsid w:val="00923936"/>
    <w:rsid w:val="00926DD3"/>
    <w:rsid w:val="00936573"/>
    <w:rsid w:val="00941E4A"/>
    <w:rsid w:val="00943151"/>
    <w:rsid w:val="00950C47"/>
    <w:rsid w:val="00951B80"/>
    <w:rsid w:val="0095271A"/>
    <w:rsid w:val="00953835"/>
    <w:rsid w:val="00954420"/>
    <w:rsid w:val="00954B2B"/>
    <w:rsid w:val="00955EDB"/>
    <w:rsid w:val="009576A0"/>
    <w:rsid w:val="00976386"/>
    <w:rsid w:val="00977472"/>
    <w:rsid w:val="009A1A28"/>
    <w:rsid w:val="009A23FD"/>
    <w:rsid w:val="009A594B"/>
    <w:rsid w:val="009A6DFA"/>
    <w:rsid w:val="009B2959"/>
    <w:rsid w:val="009B7D8D"/>
    <w:rsid w:val="009C2D9E"/>
    <w:rsid w:val="009C3471"/>
    <w:rsid w:val="009D02CC"/>
    <w:rsid w:val="009D56B4"/>
    <w:rsid w:val="009D7912"/>
    <w:rsid w:val="009E1BEB"/>
    <w:rsid w:val="009F2293"/>
    <w:rsid w:val="009F7A7F"/>
    <w:rsid w:val="00A003EB"/>
    <w:rsid w:val="00A0098D"/>
    <w:rsid w:val="00A04B4B"/>
    <w:rsid w:val="00A12603"/>
    <w:rsid w:val="00A16CF4"/>
    <w:rsid w:val="00A22095"/>
    <w:rsid w:val="00A23336"/>
    <w:rsid w:val="00A455F9"/>
    <w:rsid w:val="00A47813"/>
    <w:rsid w:val="00A50E50"/>
    <w:rsid w:val="00A51A47"/>
    <w:rsid w:val="00A523B9"/>
    <w:rsid w:val="00A55316"/>
    <w:rsid w:val="00A57489"/>
    <w:rsid w:val="00A652EF"/>
    <w:rsid w:val="00A734B8"/>
    <w:rsid w:val="00A7459D"/>
    <w:rsid w:val="00A74643"/>
    <w:rsid w:val="00A80E4F"/>
    <w:rsid w:val="00A91119"/>
    <w:rsid w:val="00A978E0"/>
    <w:rsid w:val="00AA1FDB"/>
    <w:rsid w:val="00AA3F4D"/>
    <w:rsid w:val="00AC0705"/>
    <w:rsid w:val="00AC65BC"/>
    <w:rsid w:val="00AD2672"/>
    <w:rsid w:val="00AD2DB1"/>
    <w:rsid w:val="00AD5BE1"/>
    <w:rsid w:val="00AD7081"/>
    <w:rsid w:val="00AE2F3A"/>
    <w:rsid w:val="00AE539E"/>
    <w:rsid w:val="00AF1C0D"/>
    <w:rsid w:val="00AF239C"/>
    <w:rsid w:val="00AF4FA0"/>
    <w:rsid w:val="00AF71F4"/>
    <w:rsid w:val="00B014C5"/>
    <w:rsid w:val="00B02396"/>
    <w:rsid w:val="00B025F8"/>
    <w:rsid w:val="00B04E21"/>
    <w:rsid w:val="00B11ED7"/>
    <w:rsid w:val="00B1235F"/>
    <w:rsid w:val="00B13D65"/>
    <w:rsid w:val="00B1525C"/>
    <w:rsid w:val="00B20B13"/>
    <w:rsid w:val="00B26A17"/>
    <w:rsid w:val="00B41953"/>
    <w:rsid w:val="00B42B8A"/>
    <w:rsid w:val="00B42E74"/>
    <w:rsid w:val="00B46239"/>
    <w:rsid w:val="00B50124"/>
    <w:rsid w:val="00B51DA6"/>
    <w:rsid w:val="00B5683E"/>
    <w:rsid w:val="00B616D0"/>
    <w:rsid w:val="00B649D5"/>
    <w:rsid w:val="00B66E3F"/>
    <w:rsid w:val="00B67D73"/>
    <w:rsid w:val="00B75179"/>
    <w:rsid w:val="00B76A69"/>
    <w:rsid w:val="00B873F9"/>
    <w:rsid w:val="00B92AD0"/>
    <w:rsid w:val="00B94520"/>
    <w:rsid w:val="00B95B7E"/>
    <w:rsid w:val="00B96A41"/>
    <w:rsid w:val="00B97CFD"/>
    <w:rsid w:val="00BA6040"/>
    <w:rsid w:val="00BB0BFF"/>
    <w:rsid w:val="00BC133E"/>
    <w:rsid w:val="00BD1968"/>
    <w:rsid w:val="00BD5A50"/>
    <w:rsid w:val="00BF2918"/>
    <w:rsid w:val="00BF2AD5"/>
    <w:rsid w:val="00BF2BBC"/>
    <w:rsid w:val="00BF462B"/>
    <w:rsid w:val="00BF5DCF"/>
    <w:rsid w:val="00C029BC"/>
    <w:rsid w:val="00C0422D"/>
    <w:rsid w:val="00C05358"/>
    <w:rsid w:val="00C13D97"/>
    <w:rsid w:val="00C14A93"/>
    <w:rsid w:val="00C16541"/>
    <w:rsid w:val="00C200B7"/>
    <w:rsid w:val="00C248FF"/>
    <w:rsid w:val="00C25324"/>
    <w:rsid w:val="00C261E7"/>
    <w:rsid w:val="00C3211B"/>
    <w:rsid w:val="00C330C1"/>
    <w:rsid w:val="00C33A31"/>
    <w:rsid w:val="00C351A9"/>
    <w:rsid w:val="00C46E8C"/>
    <w:rsid w:val="00C50273"/>
    <w:rsid w:val="00C5521E"/>
    <w:rsid w:val="00C6471A"/>
    <w:rsid w:val="00C64DBA"/>
    <w:rsid w:val="00C71C3D"/>
    <w:rsid w:val="00C71DA2"/>
    <w:rsid w:val="00C75AF3"/>
    <w:rsid w:val="00C8024C"/>
    <w:rsid w:val="00C95D0B"/>
    <w:rsid w:val="00CA0CB1"/>
    <w:rsid w:val="00CA0DDA"/>
    <w:rsid w:val="00CA4B59"/>
    <w:rsid w:val="00CB7594"/>
    <w:rsid w:val="00CD0B01"/>
    <w:rsid w:val="00CD5A46"/>
    <w:rsid w:val="00CD67EA"/>
    <w:rsid w:val="00CE44D7"/>
    <w:rsid w:val="00CE7C94"/>
    <w:rsid w:val="00CF1B87"/>
    <w:rsid w:val="00CF31B1"/>
    <w:rsid w:val="00CF3FB8"/>
    <w:rsid w:val="00D06B2B"/>
    <w:rsid w:val="00D07FE3"/>
    <w:rsid w:val="00D23552"/>
    <w:rsid w:val="00D3601E"/>
    <w:rsid w:val="00D360B4"/>
    <w:rsid w:val="00D36F17"/>
    <w:rsid w:val="00D40E6E"/>
    <w:rsid w:val="00D412F3"/>
    <w:rsid w:val="00D42163"/>
    <w:rsid w:val="00D44AF2"/>
    <w:rsid w:val="00D45041"/>
    <w:rsid w:val="00D452E4"/>
    <w:rsid w:val="00D45410"/>
    <w:rsid w:val="00D45AB5"/>
    <w:rsid w:val="00D479A7"/>
    <w:rsid w:val="00D55504"/>
    <w:rsid w:val="00D57575"/>
    <w:rsid w:val="00D60B10"/>
    <w:rsid w:val="00D6159D"/>
    <w:rsid w:val="00D6517A"/>
    <w:rsid w:val="00D6723E"/>
    <w:rsid w:val="00D7569F"/>
    <w:rsid w:val="00D7652D"/>
    <w:rsid w:val="00D83278"/>
    <w:rsid w:val="00D835CF"/>
    <w:rsid w:val="00D8670A"/>
    <w:rsid w:val="00D97F96"/>
    <w:rsid w:val="00DA13E2"/>
    <w:rsid w:val="00DA698B"/>
    <w:rsid w:val="00DA71EC"/>
    <w:rsid w:val="00DB0DD8"/>
    <w:rsid w:val="00DB1FDB"/>
    <w:rsid w:val="00DC083B"/>
    <w:rsid w:val="00DC23AB"/>
    <w:rsid w:val="00DC4560"/>
    <w:rsid w:val="00DC6502"/>
    <w:rsid w:val="00DE274D"/>
    <w:rsid w:val="00DE5DF7"/>
    <w:rsid w:val="00DF6467"/>
    <w:rsid w:val="00E00130"/>
    <w:rsid w:val="00E00FBC"/>
    <w:rsid w:val="00E01322"/>
    <w:rsid w:val="00E04F2C"/>
    <w:rsid w:val="00E13309"/>
    <w:rsid w:val="00E133E2"/>
    <w:rsid w:val="00E13912"/>
    <w:rsid w:val="00E160F4"/>
    <w:rsid w:val="00E23E94"/>
    <w:rsid w:val="00E2529D"/>
    <w:rsid w:val="00E2768B"/>
    <w:rsid w:val="00E301BD"/>
    <w:rsid w:val="00E31591"/>
    <w:rsid w:val="00E402A3"/>
    <w:rsid w:val="00E41FE4"/>
    <w:rsid w:val="00E43181"/>
    <w:rsid w:val="00E43BF1"/>
    <w:rsid w:val="00E50DE5"/>
    <w:rsid w:val="00E533A7"/>
    <w:rsid w:val="00E651DB"/>
    <w:rsid w:val="00E70F4D"/>
    <w:rsid w:val="00E8042D"/>
    <w:rsid w:val="00E81170"/>
    <w:rsid w:val="00E86035"/>
    <w:rsid w:val="00EA56C4"/>
    <w:rsid w:val="00EA757C"/>
    <w:rsid w:val="00EB0CDE"/>
    <w:rsid w:val="00EB4EC4"/>
    <w:rsid w:val="00EB4EE6"/>
    <w:rsid w:val="00EB5D61"/>
    <w:rsid w:val="00EB69CD"/>
    <w:rsid w:val="00EC0103"/>
    <w:rsid w:val="00EC4C60"/>
    <w:rsid w:val="00EC5296"/>
    <w:rsid w:val="00EC7C95"/>
    <w:rsid w:val="00ED23EA"/>
    <w:rsid w:val="00ED2D56"/>
    <w:rsid w:val="00ED41FC"/>
    <w:rsid w:val="00EE41F6"/>
    <w:rsid w:val="00EE5069"/>
    <w:rsid w:val="00F1004E"/>
    <w:rsid w:val="00F21260"/>
    <w:rsid w:val="00F21AB2"/>
    <w:rsid w:val="00F26BF8"/>
    <w:rsid w:val="00F2781A"/>
    <w:rsid w:val="00F32D1D"/>
    <w:rsid w:val="00F33AB2"/>
    <w:rsid w:val="00F3636B"/>
    <w:rsid w:val="00F37456"/>
    <w:rsid w:val="00F40A6B"/>
    <w:rsid w:val="00F443AF"/>
    <w:rsid w:val="00F5404D"/>
    <w:rsid w:val="00F55697"/>
    <w:rsid w:val="00F64A27"/>
    <w:rsid w:val="00F71A94"/>
    <w:rsid w:val="00F71F45"/>
    <w:rsid w:val="00F81656"/>
    <w:rsid w:val="00F81A5B"/>
    <w:rsid w:val="00F84A31"/>
    <w:rsid w:val="00F855EA"/>
    <w:rsid w:val="00F90D7A"/>
    <w:rsid w:val="00F964C6"/>
    <w:rsid w:val="00F96ACC"/>
    <w:rsid w:val="00F97152"/>
    <w:rsid w:val="00FA0402"/>
    <w:rsid w:val="00FA0981"/>
    <w:rsid w:val="00FA166C"/>
    <w:rsid w:val="00FA591E"/>
    <w:rsid w:val="00FA6DEB"/>
    <w:rsid w:val="00FA73C5"/>
    <w:rsid w:val="00FB0FE5"/>
    <w:rsid w:val="00FB42A5"/>
    <w:rsid w:val="00FB7078"/>
    <w:rsid w:val="00FB7477"/>
    <w:rsid w:val="00FD1622"/>
    <w:rsid w:val="00FD1D2D"/>
    <w:rsid w:val="00FD5E4F"/>
    <w:rsid w:val="00FF1ADE"/>
    <w:rsid w:val="00FF2590"/>
    <w:rsid w:val="00FF7B8D"/>
    <w:rsid w:val="0CA070FC"/>
    <w:rsid w:val="242549AD"/>
    <w:rsid w:val="27EF167F"/>
    <w:rsid w:val="29A2222B"/>
    <w:rsid w:val="2E057F04"/>
    <w:rsid w:val="30CF4ABC"/>
    <w:rsid w:val="34BF705E"/>
    <w:rsid w:val="5220611B"/>
    <w:rsid w:val="60D21B45"/>
    <w:rsid w:val="6CAC5DDF"/>
    <w:rsid w:val="773D1F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560" w:lineRule="exact"/>
      <w:ind w:firstLine="640" w:firstLineChars="200"/>
      <w:jc w:val="both"/>
      <w:textAlignment w:val="baseline"/>
    </w:pPr>
    <w:rPr>
      <w:rFonts w:ascii="方正仿宋_GBK" w:hAnsi="宋体" w:eastAsia="方正仿宋_GBK" w:cs="Times New Roman"/>
      <w:kern w:val="2"/>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3"/>
    <w:autoRedefine/>
    <w:semiHidden/>
    <w:unhideWhenUsed/>
    <w:qFormat/>
    <w:uiPriority w:val="99"/>
    <w:pPr>
      <w:ind w:left="100" w:leftChars="2500"/>
    </w:pPr>
  </w:style>
  <w:style w:type="paragraph" w:styleId="3">
    <w:name w:val="Balloon Text"/>
    <w:basedOn w:val="1"/>
    <w:link w:val="25"/>
    <w:semiHidden/>
    <w:unhideWhenUsed/>
    <w:qFormat/>
    <w:uiPriority w:val="99"/>
    <w:pPr>
      <w:spacing w:line="240" w:lineRule="auto"/>
    </w:pPr>
    <w:rPr>
      <w:sz w:val="18"/>
      <w:szCs w:val="18"/>
    </w:rPr>
  </w:style>
  <w:style w:type="paragraph" w:styleId="4">
    <w:name w:val="footer"/>
    <w:basedOn w:val="1"/>
    <w:link w:val="20"/>
    <w:autoRedefine/>
    <w:unhideWhenUsed/>
    <w:qFormat/>
    <w:uiPriority w:val="99"/>
    <w:pPr>
      <w:tabs>
        <w:tab w:val="center" w:pos="4153"/>
        <w:tab w:val="right" w:pos="8306"/>
      </w:tabs>
      <w:snapToGrid w:val="0"/>
      <w:jc w:val="left"/>
    </w:pPr>
    <w:rPr>
      <w:sz w:val="18"/>
      <w:szCs w:val="18"/>
    </w:rPr>
  </w:style>
  <w:style w:type="paragraph" w:styleId="5">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val="0"/>
      <w:textAlignment w:val="auto"/>
    </w:pPr>
    <w:rPr>
      <w:sz w:val="24"/>
    </w:rPr>
  </w:style>
  <w:style w:type="character" w:styleId="9">
    <w:name w:val="Emphasis"/>
    <w:basedOn w:val="8"/>
    <w:autoRedefine/>
    <w:qFormat/>
    <w:uiPriority w:val="20"/>
    <w:rPr>
      <w:i/>
      <w:iCs/>
    </w:rPr>
  </w:style>
  <w:style w:type="character" w:customStyle="1" w:styleId="10">
    <w:name w:val="NormalCharacter"/>
    <w:autoRedefine/>
    <w:qFormat/>
    <w:uiPriority w:val="0"/>
  </w:style>
  <w:style w:type="table" w:customStyle="1" w:styleId="11">
    <w:name w:val="TableNormal"/>
    <w:autoRedefine/>
    <w:semiHidden/>
    <w:qFormat/>
    <w:uiPriority w:val="0"/>
    <w:tblPr>
      <w:tblCellMar>
        <w:top w:w="0" w:type="dxa"/>
        <w:left w:w="0" w:type="dxa"/>
        <w:bottom w:w="0" w:type="dxa"/>
        <w:right w:w="0" w:type="dxa"/>
      </w:tblCellMar>
    </w:tblPr>
  </w:style>
  <w:style w:type="paragraph" w:customStyle="1" w:styleId="12">
    <w:name w:val="179"/>
    <w:basedOn w:val="1"/>
    <w:autoRedefine/>
    <w:qFormat/>
    <w:uiPriority w:val="0"/>
    <w:pPr>
      <w:ind w:firstLine="420"/>
    </w:pPr>
  </w:style>
  <w:style w:type="paragraph" w:customStyle="1" w:styleId="13">
    <w:name w:val="页眉1"/>
    <w:basedOn w:val="1"/>
    <w:link w:val="14"/>
    <w:autoRedefine/>
    <w:semiHidden/>
    <w:qFormat/>
    <w:uiPriority w:val="0"/>
    <w:pPr>
      <w:pBdr>
        <w:bottom w:val="single" w:color="000000" w:sz="6" w:space="0"/>
      </w:pBdr>
      <w:snapToGrid w:val="0"/>
      <w:jc w:val="center"/>
    </w:pPr>
    <w:rPr>
      <w:sz w:val="18"/>
      <w:szCs w:val="18"/>
    </w:rPr>
  </w:style>
  <w:style w:type="character" w:customStyle="1" w:styleId="14">
    <w:name w:val="UserStyle_0"/>
    <w:basedOn w:val="10"/>
    <w:link w:val="13"/>
    <w:autoRedefine/>
    <w:semiHidden/>
    <w:qFormat/>
    <w:uiPriority w:val="0"/>
    <w:rPr>
      <w:sz w:val="18"/>
      <w:szCs w:val="18"/>
    </w:rPr>
  </w:style>
  <w:style w:type="paragraph" w:customStyle="1" w:styleId="15">
    <w:name w:val="页脚1"/>
    <w:basedOn w:val="1"/>
    <w:link w:val="16"/>
    <w:semiHidden/>
    <w:qFormat/>
    <w:uiPriority w:val="0"/>
    <w:pPr>
      <w:snapToGrid w:val="0"/>
      <w:jc w:val="left"/>
    </w:pPr>
    <w:rPr>
      <w:sz w:val="18"/>
      <w:szCs w:val="18"/>
    </w:rPr>
  </w:style>
  <w:style w:type="character" w:customStyle="1" w:styleId="16">
    <w:name w:val="UserStyle_1"/>
    <w:basedOn w:val="10"/>
    <w:link w:val="15"/>
    <w:autoRedefine/>
    <w:semiHidden/>
    <w:qFormat/>
    <w:uiPriority w:val="0"/>
    <w:rPr>
      <w:sz w:val="18"/>
      <w:szCs w:val="18"/>
    </w:rPr>
  </w:style>
  <w:style w:type="paragraph" w:customStyle="1" w:styleId="17">
    <w:name w:val="BodyText"/>
    <w:basedOn w:val="1"/>
    <w:link w:val="18"/>
    <w:autoRedefine/>
    <w:qFormat/>
    <w:uiPriority w:val="0"/>
    <w:rPr>
      <w:rFonts w:ascii="Times New Roman" w:hAnsi="Times New Roman"/>
      <w:sz w:val="52"/>
    </w:rPr>
  </w:style>
  <w:style w:type="character" w:customStyle="1" w:styleId="18">
    <w:name w:val="UserStyle_2"/>
    <w:basedOn w:val="10"/>
    <w:link w:val="17"/>
    <w:autoRedefine/>
    <w:qFormat/>
    <w:uiPriority w:val="0"/>
    <w:rPr>
      <w:rFonts w:ascii="Times New Roman" w:hAnsi="Times New Roman" w:eastAsia="方正仿宋_GBK"/>
      <w:sz w:val="52"/>
      <w:szCs w:val="32"/>
    </w:rPr>
  </w:style>
  <w:style w:type="character" w:customStyle="1" w:styleId="19">
    <w:name w:val="页眉 Char"/>
    <w:basedOn w:val="8"/>
    <w:link w:val="5"/>
    <w:autoRedefine/>
    <w:qFormat/>
    <w:uiPriority w:val="99"/>
    <w:rPr>
      <w:kern w:val="2"/>
      <w:sz w:val="18"/>
      <w:szCs w:val="18"/>
    </w:rPr>
  </w:style>
  <w:style w:type="character" w:customStyle="1" w:styleId="20">
    <w:name w:val="页脚 Char"/>
    <w:basedOn w:val="8"/>
    <w:link w:val="4"/>
    <w:autoRedefine/>
    <w:qFormat/>
    <w:uiPriority w:val="99"/>
    <w:rPr>
      <w:kern w:val="2"/>
      <w:sz w:val="18"/>
      <w:szCs w:val="18"/>
    </w:rPr>
  </w:style>
  <w:style w:type="paragraph" w:customStyle="1" w:styleId="21">
    <w:name w:val="正文1"/>
    <w:basedOn w:val="1"/>
    <w:next w:val="1"/>
    <w:link w:val="22"/>
    <w:autoRedefine/>
    <w:qFormat/>
    <w:uiPriority w:val="0"/>
    <w:pPr>
      <w:widowControl w:val="0"/>
      <w:textAlignment w:val="auto"/>
    </w:pPr>
    <w:rPr>
      <w:rFonts w:ascii="Times New Roman" w:hAnsi="Times New Roman"/>
      <w:kern w:val="44"/>
    </w:rPr>
  </w:style>
  <w:style w:type="character" w:customStyle="1" w:styleId="22">
    <w:name w:val="样式1 Char"/>
    <w:link w:val="21"/>
    <w:autoRedefine/>
    <w:qFormat/>
    <w:uiPriority w:val="0"/>
    <w:rPr>
      <w:rFonts w:ascii="Times New Roman" w:hAnsi="Times New Roman" w:eastAsia="方正仿宋_GBK"/>
      <w:kern w:val="44"/>
      <w:sz w:val="32"/>
      <w:szCs w:val="32"/>
    </w:rPr>
  </w:style>
  <w:style w:type="character" w:customStyle="1" w:styleId="23">
    <w:name w:val="日期 Char"/>
    <w:basedOn w:val="8"/>
    <w:link w:val="2"/>
    <w:autoRedefine/>
    <w:semiHidden/>
    <w:qFormat/>
    <w:uiPriority w:val="99"/>
    <w:rPr>
      <w:kern w:val="2"/>
      <w:sz w:val="28"/>
      <w:szCs w:val="22"/>
    </w:rPr>
  </w:style>
  <w:style w:type="paragraph" w:styleId="24">
    <w:name w:val="List Paragraph"/>
    <w:basedOn w:val="1"/>
    <w:autoRedefine/>
    <w:qFormat/>
    <w:uiPriority w:val="34"/>
    <w:pPr>
      <w:widowControl w:val="0"/>
      <w:ind w:firstLine="420"/>
      <w:textAlignment w:val="auto"/>
    </w:pPr>
    <w:rPr>
      <w:rFonts w:asciiTheme="minorHAnsi" w:hAnsiTheme="minorHAnsi" w:eastAsiaTheme="minorEastAsia" w:cstheme="minorBidi"/>
      <w:sz w:val="21"/>
    </w:rPr>
  </w:style>
  <w:style w:type="character" w:customStyle="1" w:styleId="25">
    <w:name w:val="批注框文本 Char"/>
    <w:basedOn w:val="8"/>
    <w:link w:val="3"/>
    <w:semiHidden/>
    <w:qFormat/>
    <w:uiPriority w:val="99"/>
    <w:rPr>
      <w:rFonts w:ascii="方正仿宋_GBK" w:eastAsia="方正仿宋_GBK"/>
      <w:color w:val="00B05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64FB77-B299-4090-831D-FEBACF9BD78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4679</Words>
  <Characters>5072</Characters>
  <Lines>36</Lines>
  <Paragraphs>10</Paragraphs>
  <TotalTime>362</TotalTime>
  <ScaleCrop>false</ScaleCrop>
  <LinksUpToDate>false</LinksUpToDate>
  <CharactersWithSpaces>5095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2024-03-21T07:55:00Z</dcterms:created>
  <dc:creator>追风者</dc:creator>
  <cp:lastModifiedBy>carrie blabla</cp:lastModifiedBy>
  <cp:lastPrinted>2024-03-26T01:23:00Z</cp:lastPrinted>
  <dcterms:modified xsi:type="dcterms:W3CDTF">2025-02-05T02:41:34Z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8F1DB89967FA4B31A15EAC71DDBF12BF_13</vt:lpwstr>
  </property>
  <property fmtid="{D5CDD505-2E9C-101B-9397-08002B2CF9AE}" pid="4" name="KSOTemplateDocerSaveRecord">
    <vt:lpwstr>eyJoZGlkIjoiODk0YzNiMjVhODVjMjMwNzcxZDM1ZThjYTBiMTEyMWEiLCJ1c2VySWQiOiIyMzYwMjkwMzgifQ==</vt:lpwstr>
  </property>
</Properties>
</file>