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小标宋_GBK" w:hAnsi="方正小标宋_GBK" w:eastAsia="方正小标宋_GBK" w:cs="方正小标宋_GBK"/>
          <w:spacing w:val="-14"/>
          <w:w w:val="4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小标宋_GBK" w:hAnsi="方正小标宋_GBK" w:eastAsia="方正小标宋_GBK" w:cs="方正小标宋_GBK"/>
          <w:spacing w:val="-14"/>
          <w:w w:val="4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2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186055</wp:posOffset>
                </wp:positionV>
                <wp:extent cx="635" cy="0"/>
                <wp:effectExtent l="0" t="12700" r="18415" b="15875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top:14.65pt;height:0pt;width:0.05pt;mso-position-horizontal:center;mso-wrap-distance-left:9pt;mso-wrap-distance-right:9pt;z-index:251659264;mso-width-relative:page;mso-height-relative:page;" coordsize="21600,21600" o:gfxdata="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fGyg+NEAAAADAQAADwAA&#10;AAAAAAABACAAAAAiAAAAZHJzL2Rvd25yZXYueG1sUEsBAhQAFAAAAAgAh07iQC3pw2zkAQAA2AMA&#10;AA4AAAAAAAAAAQAgAAAAIAEAAGRycy9lMm9Eb2MueG1sUEsFBgAAAAAGAAYAWQEAAHYFAAAAAA==&#10;">
                <v:path arrowok="t"/>
                <v:fill focussize="0,0"/>
                <v:stroke weight="2pt"/>
                <v:imagedata o:title=""/>
                <o:lock v:ext="edit"/>
                <w10:wrap type="tight"/>
              </v:line>
            </w:pict>
          </mc:Fallback>
        </mc:AlternateContent>
      </w:r>
    </w:p>
    <w:p>
      <w:pPr>
        <w:keepNext w:val="0"/>
        <w:keepLines w:val="0"/>
        <w:widowControl w:val="0"/>
        <w:suppressLineNumbers w:val="0"/>
        <w:tabs>
          <w:tab w:val="left" w:pos="5025"/>
        </w:tabs>
        <w:spacing w:before="0" w:beforeAutospacing="0" w:after="0" w:afterAutospacing="0"/>
        <w:ind w:left="0" w:right="0"/>
        <w:jc w:val="left"/>
        <w:rPr>
          <w:rFonts w:hint="eastAsia" w:ascii="方正小标宋_GBK" w:hAnsi="方正小标宋_GBK" w:eastAsia="方正小标宋_GBK" w:cs="方正小标宋_GBK"/>
          <w:spacing w:val="-14"/>
          <w:w w:val="4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spacing w:val="-14"/>
          <w:w w:val="42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8690"/>
        </w:tabs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b/>
          <w:bCs/>
          <w:color w:val="FF0000"/>
          <w:spacing w:val="-14"/>
          <w:w w:val="56"/>
          <w:sz w:val="108"/>
          <w:szCs w:val="108"/>
          <w:lang w:val="en-US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FF0000"/>
          <w:spacing w:val="-14"/>
          <w:w w:val="56"/>
          <w:kern w:val="2"/>
          <w:sz w:val="108"/>
          <w:szCs w:val="108"/>
          <w:lang w:val="en-US" w:eastAsia="zh-CN" w:bidi="ar"/>
        </w:rPr>
        <w:t>重庆市涪陵区增福乡人民政府文件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eastAsia="方正仿宋_GBK" w:cs="仿宋_GB231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eastAsia="方正仿宋_GBK" w:cs="仿宋_GB2312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316"/>
        </w:tabs>
        <w:spacing w:before="0" w:beforeAutospacing="0" w:after="0" w:afterAutospacing="0"/>
        <w:ind w:left="0" w:right="0"/>
        <w:jc w:val="center"/>
        <w:rPr>
          <w:rFonts w:hint="eastAsia" w:ascii="方正仿宋_GBK" w:hAnsi="方正仿宋_GBK" w:eastAsia="方正仿宋_GBK" w:cs="方正仿宋_GBK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22"/>
          <w:lang w:val="en-US" w:eastAsia="zh-CN" w:bidi="ar"/>
        </w:rPr>
        <w:t>涪增府发〔2017〕168号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80" w:lineRule="exact"/>
        <w:ind w:left="0" w:right="0" w:firstLine="640" w:firstLineChars="200"/>
        <w:jc w:val="both"/>
      </w:pPr>
      <w:r>
        <w:rPr>
          <w:rFonts w:hint="default" w:ascii="Times New Roman" w:hAnsi="Times New Roman" w:eastAsia="方正仿宋_GBK" w:cs="Times New Roman"/>
          <w:snapToGrid w:val="0"/>
          <w:kern w:val="2"/>
          <w:sz w:val="32"/>
          <w:szCs w:val="22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615940" cy="0"/>
                <wp:effectExtent l="0" t="13970" r="3810" b="24130"/>
                <wp:wrapSquare wrapText="bothSides"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6.6pt;height:0pt;width:442.2pt;mso-wrap-distance-bottom:0pt;mso-wrap-distance-left:9pt;mso-wrap-distance-right:9pt;mso-wrap-distance-top:0pt;z-index:251660288;mso-width-relative:page;mso-height-relative:page;" stroked="t" coordsize="21600,21600" o:gfxdata="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yODATU&#10;AAAABgEAAA8AAAAAAAAAAQAgAAAAIgAAAGRycy9kb3ducmV2LnhtbFBLAQIUABQAAAAIAIdO4kBy&#10;IJA06wEAANwDAAAOAAAAAAAAAAEAIAAAACMBAABkcnMvZTJvRG9jLnhtbFBLBQYAAAAABgAGAFkB&#10;AACABQAAAAA=&#10;">
                <v:path arrowok="t"/>
                <v:fill focussize="0,0"/>
                <v:stroke weight="2.25pt" color="#FF0000"/>
                <v:imagedata o:title=""/>
                <o:lock v:ext="edit"/>
                <w10:wrap type="square"/>
              </v:line>
            </w:pict>
          </mc:Fallback>
        </mc:AlternateConten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80" w:lineRule="exact"/>
        <w:ind w:left="0" w:right="0" w:firstLine="880" w:firstLineChars="200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center"/>
        <w:rPr>
          <w:rFonts w:eastAsia="方正小标宋_GBK"/>
          <w:sz w:val="44"/>
          <w:szCs w:val="44"/>
          <w:lang w:val="en-US"/>
        </w:rPr>
      </w:pPr>
      <w:r>
        <w:rPr>
          <w:rFonts w:hint="eastAsia" w:ascii="Times New Roman" w:hAnsi="方正小标宋_GBK" w:eastAsia="方正小标宋_GBK" w:cs="方正小标宋_GBK"/>
          <w:kern w:val="2"/>
          <w:sz w:val="44"/>
          <w:szCs w:val="44"/>
          <w:lang w:val="en-US" w:eastAsia="zh-CN" w:bidi="ar"/>
        </w:rPr>
        <w:t>重庆市涪陵区增福乡人民政府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center"/>
        <w:rPr>
          <w:rFonts w:eastAsia="方正小标宋_GBK"/>
          <w:spacing w:val="-20"/>
          <w:sz w:val="44"/>
          <w:szCs w:val="44"/>
          <w:lang w:val="en-US"/>
        </w:rPr>
      </w:pPr>
      <w:r>
        <w:rPr>
          <w:rFonts w:hint="eastAsia" w:ascii="Times New Roman" w:hAnsi="方正小标宋_GBK" w:eastAsia="方正小标宋_GBK" w:cs="方正小标宋_GBK"/>
          <w:spacing w:val="-20"/>
          <w:kern w:val="2"/>
          <w:sz w:val="44"/>
          <w:szCs w:val="44"/>
          <w:lang w:val="en-US" w:eastAsia="zh-CN" w:bidi="ar"/>
        </w:rPr>
        <w:t>关于印发《增福乡河长制工作督查问责制度》等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center"/>
        <w:rPr>
          <w:rFonts w:eastAsia="方正小标宋_GBK"/>
          <w:spacing w:val="-20"/>
          <w:sz w:val="44"/>
          <w:szCs w:val="44"/>
          <w:lang w:val="en-US"/>
        </w:rPr>
      </w:pPr>
      <w:r>
        <w:rPr>
          <w:rFonts w:hint="eastAsia" w:ascii="Times New Roman" w:hAnsi="方正小标宋_GBK" w:eastAsia="方正小标宋_GBK" w:cs="方正小标宋_GBK"/>
          <w:spacing w:val="-20"/>
          <w:kern w:val="2"/>
          <w:sz w:val="44"/>
          <w:szCs w:val="44"/>
          <w:lang w:val="en-US" w:eastAsia="zh-CN" w:bidi="ar"/>
        </w:rPr>
        <w:t>工作制度的通知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center"/>
        <w:rPr>
          <w:rFonts w:eastAsia="方正小标宋_GBK"/>
          <w:spacing w:val="-10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color w:val="000000"/>
          <w:kern w:val="0"/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各乡级河长制责任单位、各村级河长：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0" w:firstLineChars="200"/>
        <w:jc w:val="both"/>
        <w:rPr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为推进我乡河长制工作，切实加强河库综合保护，现将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《增福乡河长制工作督查问责制度》和《增福乡河长制信息报送制度》印发给你们，请认真遵照执行。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420" w:firstLineChars="200"/>
        <w:jc w:val="both"/>
        <w:rPr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420" w:firstLineChars="200"/>
        <w:jc w:val="both"/>
        <w:rPr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center"/>
        <w:rPr>
          <w:rFonts w:hint="eastAsia" w:ascii="方正仿宋_GBK" w:hAnsi="方正仿宋_GBK" w:eastAsia="方正仿宋_GBK" w:cs="方正仿宋_GBK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                       重庆市涪陵区增福乡人民政府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center"/>
        <w:rPr>
          <w:rFonts w:hint="eastAsia" w:ascii="方正仿宋_GBK" w:hAnsi="方正仿宋_GBK" w:eastAsia="方正仿宋_GBK" w:cs="方正仿宋_GBK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                      2017年8月30日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94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增福乡河长制工作督察问责制度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方正黑体_GBK" w:hAnsi="方正黑体_GBK" w:eastAsia="方正黑体_GBK" w:cs="方正黑体_GBK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94" w:lineRule="exact"/>
        <w:ind w:left="0" w:right="0"/>
        <w:jc w:val="center"/>
        <w:rPr>
          <w:rFonts w:hint="eastAsia" w:ascii="方正黑体_GBK" w:hAnsi="方正黑体_GBK" w:eastAsia="方正黑体_GBK" w:cs="方正黑体_GBK"/>
          <w:sz w:val="36"/>
          <w:szCs w:val="36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6"/>
          <w:szCs w:val="36"/>
          <w:lang w:val="en-US" w:eastAsia="zh-CN" w:bidi="ar"/>
        </w:rPr>
        <w:t>第一章  总  则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方正黑体_GBK" w:hAnsi="方正黑体_GBK" w:eastAsia="方正黑体_GBK" w:cs="方正黑体_GBK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第一条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为全面推进我乡河长制工作高质高效完成，根据《增福乡全面推行河长制工作方案》（涪增委发〔2017〕45号），结合实际，制定本制度</w:t>
      </w:r>
      <w:r>
        <w:rPr>
          <w:rFonts w:hint="eastAsia" w:ascii="宋体" w:hAnsi="方正仿宋_GBK" w:eastAsia="方正仿宋_GBK" w:cs="方正仿宋_GBK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第二条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本制度适用于承担河长制工作任务的各村、各部门及其工作人员。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 xml:space="preserve">第三条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本制度所称督察，是指对各村、各有关部门河长制工作推进情况的监督检查。由增福乡监察室及乡河长办公室共同组织、开展</w:t>
      </w:r>
      <w:r>
        <w:rPr>
          <w:rFonts w:hint="eastAsia" w:ascii="宋体" w:hAnsi="方正仿宋_GBK" w:eastAsia="方正仿宋_GBK" w:cs="方正仿宋_GBK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第四条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 本制度所称问责，是指对承担河长制工作任务的各村、各有关部门及其工作人员不履行或不正确履行工作职责的行为，依规依纪进行责任追究。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方正黑体_GBK" w:hAnsi="方正黑体_GBK" w:eastAsia="方正黑体_GBK" w:cs="方正黑体_GBK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8" w:lineRule="exact"/>
        <w:ind w:left="0" w:right="0"/>
        <w:jc w:val="center"/>
        <w:rPr>
          <w:rFonts w:hint="eastAsia" w:ascii="方正黑体_GBK" w:hAnsi="方正黑体_GBK" w:eastAsia="方正黑体_GBK" w:cs="方正黑体_GBK"/>
          <w:sz w:val="36"/>
          <w:szCs w:val="36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6"/>
          <w:szCs w:val="36"/>
          <w:lang w:val="en-US" w:eastAsia="zh-CN" w:bidi="ar"/>
        </w:rPr>
        <w:t>第二章  督  察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方正黑体_GBK" w:hAnsi="方正黑体_GBK" w:eastAsia="方正黑体_GBK" w:cs="方正黑体_GBK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第五条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督察采取日常督察、联合督察、重点督察和河长督察四类</w:t>
      </w:r>
      <w:r>
        <w:rPr>
          <w:rFonts w:hint="eastAsia" w:ascii="宋体" w:hAnsi="方正仿宋_GBK" w:eastAsia="方正仿宋_GBK" w:cs="方正仿宋_GBK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第六条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日常督察，主要内容为督察各村级河长履职、各项工作推进、年度目标任务以及其他重点工作完成情况</w:t>
      </w:r>
      <w:r>
        <w:rPr>
          <w:rFonts w:hint="eastAsia" w:ascii="宋体" w:hAnsi="方正仿宋_GBK" w:eastAsia="方正仿宋_GBK" w:cs="方正仿宋_GBK"/>
          <w:kern w:val="2"/>
          <w:sz w:val="32"/>
          <w:szCs w:val="32"/>
          <w:lang w:val="en-US" w:eastAsia="zh-CN" w:bidi="ar"/>
        </w:rPr>
        <w:t>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日常督察采取不定期抽查、巡查等方式开展</w:t>
      </w:r>
      <w:r>
        <w:rPr>
          <w:rFonts w:hint="eastAsia" w:ascii="宋体" w:hAnsi="方正仿宋_GBK" w:eastAsia="方正仿宋_GBK" w:cs="方正仿宋_GBK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第七条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联合督察，主要内容为督察涉河库管理保护突发事件处置情况。联合督查由督察事项主管部门作为牵头部门，联合有关部门，统一部署，确定督察方式</w:t>
      </w:r>
      <w:r>
        <w:rPr>
          <w:rFonts w:hint="eastAsia" w:ascii="宋体" w:hAnsi="方正仿宋_GBK" w:eastAsia="方正仿宋_GBK" w:cs="方正仿宋_GBK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第八条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河长督察，主要内容为乡级河长对有关单位不能有效督察的事项进行督察。由增福乡监察室、乡河长办公室负责跟踪落实</w:t>
      </w:r>
      <w:r>
        <w:rPr>
          <w:rFonts w:hint="eastAsia" w:ascii="宋体" w:hAnsi="方正仿宋_GBK" w:eastAsia="方正仿宋_GBK" w:cs="方正仿宋_GBK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第九条</w:t>
      </w:r>
      <w:r>
        <w:rPr>
          <w:rFonts w:hint="eastAsia" w:ascii="宋体" w:hAnsi="Times New Roman" w:eastAsia="方正仿宋_GBK" w:cs="宋体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督察任务主要以督察函、督办单等形式交办</w:t>
      </w:r>
      <w:r>
        <w:rPr>
          <w:rFonts w:hint="eastAsia" w:ascii="宋体" w:hAnsi="方正仿宋_GBK" w:eastAsia="方正仿宋_GBK" w:cs="方正仿宋_GBK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日常督察、重点督察根据工作需要适时开展，联合督察根据工作需要及时组织开展，河长督察由乡级河长决定开展</w:t>
      </w:r>
      <w:r>
        <w:rPr>
          <w:rFonts w:hint="eastAsia" w:ascii="宋体" w:hAnsi="方正仿宋_GBK" w:eastAsia="方正仿宋_GBK" w:cs="方正仿宋_GBK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督察函应明确督察事项及要求，主办单位与协办单位、办结时限等。督办单主要用于重大紧迫事项</w:t>
      </w:r>
      <w:r>
        <w:rPr>
          <w:rFonts w:hint="eastAsia" w:ascii="宋体" w:hAnsi="方正仿宋_GBK" w:eastAsia="方正仿宋_GBK" w:cs="方正仿宋_GBK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第十条</w:t>
      </w:r>
      <w:r>
        <w:rPr>
          <w:rFonts w:hint="eastAsia" w:ascii="宋体" w:hAnsi="Times New Roman" w:eastAsia="方正仿宋_GBK" w:cs="宋体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各村级河长接到督察任务后，应及时开展工作，按时保质完成任务。工作过程中出现意见分歧的，由牵头单位协调解决</w:t>
      </w:r>
      <w:r>
        <w:rPr>
          <w:rFonts w:hint="eastAsia" w:ascii="宋体" w:hAnsi="方正仿宋_GBK" w:eastAsia="方正仿宋_GBK" w:cs="方正仿宋_GBK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完成督察事项后，各村级河长应及时向区河长办公室书面报告。规定时限未办结的，应将工作进展、未办结原因、下步工作安排书面报乡级河长</w:t>
      </w:r>
      <w:r>
        <w:rPr>
          <w:rFonts w:hint="eastAsia" w:ascii="宋体" w:hAnsi="方正仿宋_GBK" w:eastAsia="方正仿宋_GBK" w:cs="方正仿宋_GBK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rFonts w:hint="eastAsia" w:ascii="宋体" w:hAnsi="Times New Roman" w:eastAsia="方正仿宋_GBK" w:cs="宋体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第十一条</w:t>
      </w:r>
      <w:r>
        <w:rPr>
          <w:rFonts w:hint="eastAsia" w:ascii="宋体" w:hAnsi="Times New Roman" w:eastAsia="方正仿宋_GBK" w:cs="宋体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督察单位应对督察事项登记造册，统一编号。督察任务完成后，及时将督察事项处理过程资料、领导批示、处理意见、督察情况报告、督察结果等相关资料立卷归档管理</w:t>
      </w:r>
      <w:r>
        <w:rPr>
          <w:rFonts w:hint="eastAsia" w:ascii="宋体" w:hAnsi="方正仿宋_GBK" w:eastAsia="方正仿宋_GBK" w:cs="方正仿宋_GBK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方正黑体_GBK" w:hAnsi="方正黑体_GBK" w:eastAsia="方正黑体_GBK" w:cs="方正黑体_GBK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8" w:lineRule="exact"/>
        <w:ind w:left="0" w:right="0"/>
        <w:jc w:val="center"/>
        <w:rPr>
          <w:rFonts w:hint="eastAsia" w:ascii="方正黑体_GBK" w:hAnsi="方正黑体_GBK" w:eastAsia="方正黑体_GBK" w:cs="方正黑体_GBK"/>
          <w:sz w:val="36"/>
          <w:szCs w:val="36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6"/>
          <w:szCs w:val="36"/>
          <w:lang w:val="en-US" w:eastAsia="zh-CN" w:bidi="ar"/>
        </w:rPr>
        <w:t>第三章  问  责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方正黑体_GBK" w:hAnsi="方正黑体_GBK" w:eastAsia="方正黑体_GBK" w:cs="方正黑体_GBK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8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第十二条</w:t>
      </w:r>
      <w:r>
        <w:rPr>
          <w:rFonts w:hint="eastAsia" w:ascii="宋体" w:hAnsi="Times New Roman" w:eastAsia="方正仿宋_GBK" w:cs="宋体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在推行河长制工作中，有下列情形之一的</w:t>
      </w:r>
      <w:r>
        <w:rPr>
          <w:rFonts w:hint="eastAsia" w:ascii="宋体" w:hAnsi="方正仿宋_GBK" w:eastAsia="方正仿宋_GBK" w:cs="方正仿宋_GBK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应当分别追究责任单位和责任人的责任：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8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（一）未按照河长制的要求，分级明确责任和任务分解的；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8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（二）未有效履行管护职责，未及时发现、制止、报告涉河库违法行为，造成不良影响的；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8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（三）未按照上级督察督办要求整改的；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8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（四）未完成增福乡河长制阶段性任务和考核验收的；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8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spacing w:val="-6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（五）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对社会反应强烈的水环境保护问题处置失当或不力的；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8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（六）其他应当予以问责的情形。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8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szCs w:val="32"/>
          <w:lang w:val="en-US"/>
        </w:rPr>
      </w:pPr>
      <w:r>
        <w:rPr>
          <w:rFonts w:hint="eastAsia" w:ascii="Times New Roman" w:hAnsi="方正黑体_GBK" w:eastAsia="方正黑体_GBK" w:cs="方正黑体_GBK"/>
          <w:kern w:val="2"/>
          <w:sz w:val="32"/>
          <w:szCs w:val="32"/>
          <w:lang w:val="en-US" w:eastAsia="zh-CN" w:bidi="ar"/>
        </w:rPr>
        <w:t>第十三条</w:t>
      </w:r>
      <w:r>
        <w:rPr>
          <w:rFonts w:hint="eastAsia" w:ascii="宋体" w:hAnsi="Times New Roman" w:eastAsia="方正仿宋_GBK" w:cs="宋体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对责任单位的问责方式包括：责令限期整改、责令作出书面检查、通报批评。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8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对责任人员的问责包括：提醒谈话、责令作出书面检查、通报批评、诫勉谈话、责令辞职、免职。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8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以上问责方式可单独或合并使用。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8" w:lineRule="exact"/>
        <w:ind w:left="0" w:right="0" w:firstLine="640" w:firstLineChars="200"/>
        <w:jc w:val="both"/>
        <w:rPr>
          <w:rFonts w:hint="eastAsia" w:ascii="方正仿宋_GBK" w:hAnsi="方正仿宋_GBK" w:eastAsia="方正仿宋_GBK" w:cs="宋体"/>
          <w:szCs w:val="32"/>
          <w:lang w:val="en-US"/>
        </w:rPr>
      </w:pPr>
      <w:r>
        <w:rPr>
          <w:rFonts w:hint="eastAsia" w:ascii="方正黑体_GBK" w:hAnsi="方正黑体_GBK" w:eastAsia="方正黑体_GBK" w:cs="宋体"/>
          <w:kern w:val="2"/>
          <w:sz w:val="32"/>
          <w:szCs w:val="32"/>
          <w:lang w:val="en-US" w:eastAsia="zh-CN" w:bidi="ar"/>
        </w:rPr>
        <w:t>第十四条</w:t>
      </w:r>
      <w:r>
        <w:rPr>
          <w:rFonts w:hint="eastAsia" w:ascii="方正仿宋_GBK" w:hAnsi="方正仿宋_GBK" w:eastAsia="方正仿宋_GBK" w:cs="宋体"/>
          <w:kern w:val="2"/>
          <w:sz w:val="32"/>
          <w:szCs w:val="32"/>
          <w:lang w:val="en-US" w:eastAsia="zh-CN" w:bidi="ar"/>
        </w:rPr>
        <w:t xml:space="preserve">  本制度自印发之日起施行。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8" w:lineRule="exact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8" w:lineRule="exact"/>
        <w:ind w:left="0" w:right="0"/>
        <w:jc w:val="both"/>
        <w:rPr>
          <w:rFonts w:hint="eastAsia" w:ascii="方正黑体_GBK" w:hAnsi="方正黑体_GBK" w:eastAsia="方正黑体_GBK" w:cs="方正黑体_GBK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8" w:lineRule="exact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8" w:lineRule="exact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8" w:lineRule="exact"/>
        <w:ind w:left="0" w:right="0"/>
        <w:jc w:val="center"/>
        <w:rPr>
          <w:rFonts w:hint="eastAsia" w:ascii="Times New Roman" w:hAnsi="方正小标宋_GBK" w:eastAsia="方正小标宋_GBK" w:cs="方正小标宋_GBK"/>
          <w:spacing w:val="-6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8" w:lineRule="exact"/>
        <w:ind w:left="0" w:right="0"/>
        <w:jc w:val="center"/>
        <w:rPr>
          <w:rFonts w:hint="eastAsia" w:ascii="Times New Roman" w:hAnsi="方正小标宋_GBK" w:eastAsia="方正小标宋_GBK" w:cs="方正小标宋_GBK"/>
          <w:spacing w:val="-6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8" w:lineRule="exact"/>
        <w:ind w:left="0" w:right="0"/>
        <w:jc w:val="center"/>
        <w:rPr>
          <w:rFonts w:eastAsia="方正小标宋_GBK"/>
          <w:sz w:val="44"/>
          <w:szCs w:val="44"/>
          <w:lang w:val="en-US"/>
        </w:rPr>
      </w:pPr>
      <w:r>
        <w:rPr>
          <w:rFonts w:hint="eastAsia" w:ascii="Times New Roman" w:hAnsi="方正小标宋_GBK" w:eastAsia="方正小标宋_GBK" w:cs="方正小标宋_GBK"/>
          <w:spacing w:val="-6"/>
          <w:kern w:val="2"/>
          <w:sz w:val="44"/>
          <w:szCs w:val="44"/>
          <w:lang w:val="en-US" w:eastAsia="zh-CN" w:bidi="ar"/>
        </w:rPr>
        <w:t>增福乡河长制信息共享和报送制度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eastAsia="方正黑体_GBK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一、信息共享和报送管理原则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信息共享和报送管理应遵循资源共享、安全可靠、互联互通、务求实效的原则，突出重点、及时高效的原则。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二、信息共享和报送的主要内容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（一）工作动态信息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对全乡河长制推进的工作信息汇集与处理，并进行整理、加工、报送动态，开展工作预判，进行热点分析，台账建立工作。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（二）基础数据信息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建立台账，包含全乡河库信息资源库、河长制管理工作台账、宣传信息管理平台、维护河库在线监测系统。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三、信息共享和报送的责任主体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增福乡河长制办公室负责全乡河长制信息共享和报送的组织指导、督查协调。各村级河长对辖区内信息共享和报送实施监督管理。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四、信息共享和报送的重点工作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（一）动态跟踪和热点分析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根据年度工作计划，掌握工作推进情况，及时掌握分析重点、热点、难点问题。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（二）信息资源共享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统筹建立以村为单元的河库信息档案，将分散于各村资源数据进行集中管理，进行信息共享平台。主要涵盖已建涉河主要建筑物，取水工程，排污口位置和分级河长名录等内容。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五、信息共享和报送网络平台系统建设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乡河长制办公室负责开发增福乡河长制管理工作信息台账，及时发布相关新闻报道、政策制度、工作进展、重点项目动态、群众诉求办理、社会评议等工作信息，并通过赶场天宣传、大屏幕播放等方式发布有关工作动态信息，提高社会公众对河长制工作的知晓度和参与度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信息发布、共享和对上级主管部门上报的信息，必须经乡河长制办公室相关负责人严格审核，未经审核的信息及涉密信息严禁发布。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六、信息报送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乡河长制信息汇集工作由乡河长制办公室归口管理。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（一）信息报送内容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主要内容包括：一是贯彻落实上级重大决策、部署等工作推进情况；河长制管理重要工作进展情况；二是全乡河长制管理工作和江河湖库管护中涌现出的新思路、新举措、典型做法、先进经验及工作创新、特色和亮点；反映本地区、本单位河长制管理工作新情况、新问题和建议意见；三是乡级总河长、乡级河长、乡河长制办公室对河长制管理工作重要部署的落实情况；年度工作目标、工作重点推进情况；对重点督办事项的处理进度和完成效果；危害江河湖库管护的重大突发事件的应急处置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（二）信息报送方式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阶段工作信息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乡河长制办公室和各村级河长每月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日、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前将工作进展情况报送乡河长制办公室；按照乡河长制办公室要求，完成临时阶段性信息报送。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2.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工作动态信息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各村级河长应于每月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日前将河长制管理工作中重要的政务信息、举措部署、工作动态加盖本单位公章后上报至乡河长制办公室整理汇总。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七、信息公开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（一）信息公开内容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河道公示牌设置与公示信息内容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乡河长制办公室负责，在主要河库岸边显著位置设立乡级河长、村级河长公示牌，标明该河河长姓名及联系方式、职务及职责、江河湖库概况、管护目标、监督电话等内容，接受社会监督。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（二）信息公开管理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与村级河长及同级河长制办公室建立对口联系，畅通信息公开渠道。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2.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对收集的工作信息、简报进行整理、编辑，通过信息公开网站、工作简报等进行公开。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八、信息服务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建立河库保护目标考核信息系统，对目标考核实行动态管理。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九、考核激励机制与责任追究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（一）考核激励机制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乡河长制办公室对信息采用情况定期统计，并向村级河长通报，使用结果纳入年度综合考评，对信息共享和报送工作成效显著、成绩突出的村和个人给予通报表扬。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（二）责任追究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严肃信息共享与报送工作纪律，遵守信息管理制度，在信息共享和报送工作中有错报、漏报、瞒报、谎报等情节并导致产生严重后果、重大舆情事故和工作被动、因工作失职造成严重损失及违反规定程序擅自对外共享、发布和报送信息造成不良后果的责任单位或个人，将被依法依规追究责任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8" w:lineRule="exact"/>
        <w:ind w:left="0" w:right="0" w:firstLine="420" w:firstLineChars="200"/>
        <w:jc w:val="both"/>
        <w:rPr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8" w:lineRule="exact"/>
        <w:ind w:left="0" w:right="0" w:firstLine="420" w:firstLineChars="200"/>
        <w:jc w:val="both"/>
        <w:rPr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8" w:lineRule="exact"/>
        <w:ind w:left="0" w:right="0" w:firstLine="420" w:firstLineChars="200"/>
        <w:jc w:val="both"/>
        <w:rPr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8" w:lineRule="exact"/>
        <w:ind w:left="0" w:right="0" w:firstLine="420" w:firstLineChars="200"/>
        <w:jc w:val="both"/>
        <w:rPr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8" w:lineRule="exact"/>
        <w:ind w:left="0" w:right="0" w:firstLine="420" w:firstLineChars="200"/>
        <w:jc w:val="both"/>
        <w:rPr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8" w:lineRule="exact"/>
        <w:ind w:left="0" w:right="0" w:firstLine="420" w:firstLineChars="200"/>
        <w:jc w:val="both"/>
        <w:rPr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8" w:lineRule="exact"/>
        <w:ind w:left="0" w:right="0" w:firstLine="420" w:firstLineChars="200"/>
        <w:jc w:val="both"/>
        <w:rPr>
          <w:szCs w:val="32"/>
          <w:lang w:val="en-US"/>
        </w:r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8" w:lineRule="exact"/>
        <w:ind w:left="0" w:right="0"/>
        <w:jc w:val="both"/>
        <w:rPr>
          <w:kern w:val="0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20" w:lineRule="exact"/>
        <w:ind w:left="0" w:right="0"/>
        <w:jc w:val="both"/>
        <w:rPr>
          <w:rFonts w:hint="eastAsia" w:ascii="方正仿宋_GBK" w:hAnsi="仿宋_GB2312" w:eastAsia="方正仿宋_GBK" w:cs="方正仿宋_GBK"/>
          <w:spacing w:val="-6"/>
          <w:kern w:val="0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pBdr>
          <w:top w:val="single" w:color="auto" w:sz="8" w:space="1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025"/>
        </w:tabs>
        <w:spacing w:before="0" w:beforeAutospacing="0" w:after="0" w:afterAutospacing="0" w:line="520" w:lineRule="exact"/>
        <w:ind w:left="0" w:right="0"/>
        <w:jc w:val="both"/>
        <w:rPr>
          <w:rFonts w:hint="eastAsia" w:ascii="方正仿宋_GBK" w:hAnsi="方正仿宋_GBK" w:eastAsia="方正仿宋_GBK" w:cs="方正仿宋_GBK"/>
          <w:color w:val="000000"/>
          <w:sz w:val="28"/>
          <w:szCs w:val="28"/>
          <w:bdr w:val="none" w:color="auto" w:sz="0" w:space="0"/>
          <w:lang w:val="en-US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8"/>
          <w:szCs w:val="28"/>
          <w:bdr w:val="none" w:color="auto" w:sz="0" w:space="0"/>
          <w:lang w:val="en-US" w:eastAsia="zh-CN" w:bidi="ar"/>
        </w:rPr>
        <w:t>抄送： 区水务局</w:t>
      </w:r>
    </w:p>
    <w:p>
      <w:pPr>
        <w:keepNext w:val="0"/>
        <w:keepLines w:val="0"/>
        <w:widowControl w:val="0"/>
        <w:suppressLineNumbers w:val="0"/>
        <w:pBdr>
          <w:top w:val="single" w:color="auto" w:sz="4" w:space="1"/>
          <w:left w:val="none" w:color="auto" w:sz="0" w:space="0"/>
          <w:bottom w:val="single" w:color="auto" w:sz="8" w:space="1"/>
          <w:right w:val="none" w:color="auto" w:sz="0" w:space="0"/>
        </w:pBdr>
        <w:tabs>
          <w:tab w:val="left" w:pos="5025"/>
        </w:tabs>
        <w:spacing w:before="0" w:beforeAutospacing="0" w:after="0" w:afterAutospacing="0" w:line="520" w:lineRule="exact"/>
        <w:ind w:left="0" w:right="0"/>
        <w:jc w:val="both"/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8"/>
          <w:szCs w:val="28"/>
          <w:bdr w:val="none" w:color="auto" w:sz="0" w:space="0"/>
          <w:lang w:val="en-US" w:eastAsia="zh-CN" w:bidi="ar"/>
        </w:rPr>
        <w:t>重庆市涪陵区增福乡人民政府             2017年8月30日印发</w:t>
      </w:r>
    </w:p>
    <w:p/>
    <w:sectPr>
      <w:pgSz w:w="11915" w:h="16840"/>
      <w:pgMar w:top="2098" w:right="1531" w:bottom="1985" w:left="1531" w:header="851" w:footer="1702" w:gutter="0"/>
      <w:paperSrc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方正仿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仿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方正小标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黑体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@仿宋_GB2312">
    <w:altName w:val="仿宋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YTZmN2UzYzgwMTZiNTQ5OTk0ZmI1MDJmNWI5MjYifQ=="/>
  </w:docVars>
  <w:rsids>
    <w:rsidRoot w:val="00000000"/>
    <w:rsid w:val="414E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2023-01-28T02:05:02Z</dcterms:created>
  <dc:creator>Administrator</dc:creator>
  <cp:lastModifiedBy>...</cp:lastModifiedBy>
  <dcterms:modified xsi:type="dcterms:W3CDTF">2023-01-28T02:05:49Z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5DCD567E8FA847389DFDAF8F34F589F8</vt:lpwstr>
  </property>
</Properties>
</file>