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spacing w:val="-14"/>
          <w:w w:val="42"/>
        </w:rPr>
      </w:pPr>
    </w:p>
    <w:p>
      <w:pPr>
        <w:spacing w:line="400" w:lineRule="exact"/>
        <w:rPr>
          <w:rFonts w:ascii="方正小标宋_GBK" w:eastAsia="方正小标宋_GBK"/>
          <w:spacing w:val="-14"/>
          <w:w w:val="42"/>
        </w:rPr>
      </w:pPr>
      <w:r>
        <w:rPr>
          <w:rFonts w:ascii="方正小标宋_GBK" w:eastAsia="方正小标宋_GBK"/>
          <w:bCs/>
          <w:sz w:val="20"/>
        </w:rPr>
        <w:pict>
          <v:line id="_x0000_s1027" o:spid="_x0000_s1027" o:spt="20" style="position:absolute;left:0pt;margin-top:14.65pt;height:0pt;width:0pt;mso-position-horizontal:center;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spacing w:val="-14"/>
          <w:w w:val="42"/>
        </w:rPr>
      </w:pPr>
    </w:p>
    <w:p>
      <w:pPr>
        <w:spacing w:line="400" w:lineRule="exact"/>
        <w:jc w:val="center"/>
        <w:rPr>
          <w:rFonts w:ascii="方正小标宋_GBK" w:eastAsia="方正小标宋_GBK"/>
          <w:bCs/>
          <w:color w:val="FF0000"/>
          <w:spacing w:val="-14"/>
          <w:w w:val="50"/>
          <w:sz w:val="108"/>
          <w:szCs w:val="108"/>
        </w:rPr>
      </w:pPr>
    </w:p>
    <w:p>
      <w:pPr>
        <w:tabs>
          <w:tab w:val="left" w:pos="8690"/>
        </w:tabs>
        <w:spacing w:line="1180" w:lineRule="exact"/>
        <w:jc w:val="center"/>
        <w:rPr>
          <w:rFonts w:ascii="方正小标宋_GBK" w:eastAsia="方正小标宋_GBK"/>
          <w:bCs/>
          <w:color w:val="FF0000"/>
          <w:spacing w:val="-20"/>
          <w:w w:val="55"/>
          <w:sz w:val="108"/>
          <w:szCs w:val="108"/>
        </w:rPr>
      </w:pPr>
      <w:r>
        <w:rPr>
          <w:rFonts w:hint="eastAsia" w:ascii="方正小标宋_GBK" w:eastAsia="方正小标宋_GBK"/>
          <w:bCs/>
          <w:color w:val="FF0000"/>
          <w:spacing w:val="-20"/>
          <w:w w:val="55"/>
          <w:sz w:val="108"/>
          <w:szCs w:val="108"/>
        </w:rPr>
        <w:t>重庆市涪陵区增福乡人民政府文件</w:t>
      </w:r>
    </w:p>
    <w:p>
      <w:pPr>
        <w:spacing w:line="480" w:lineRule="exact"/>
        <w:jc w:val="center"/>
        <w:rPr>
          <w:rFonts w:ascii="FangSong_GB2312"/>
        </w:rPr>
      </w:pPr>
    </w:p>
    <w:p>
      <w:pPr>
        <w:spacing w:line="460" w:lineRule="exact"/>
        <w:rPr>
          <w:rFonts w:ascii="FangSong_GB2312"/>
        </w:rPr>
      </w:pPr>
    </w:p>
    <w:p>
      <w:pPr>
        <w:tabs>
          <w:tab w:val="left" w:pos="316"/>
        </w:tabs>
        <w:spacing w:line="600" w:lineRule="exact"/>
        <w:jc w:val="center"/>
        <w:rPr>
          <w:rFonts w:ascii="方正仿宋_GBK" w:eastAsia="方正仿宋_GBK"/>
          <w:sz w:val="32"/>
          <w:szCs w:val="32"/>
        </w:rPr>
      </w:pPr>
      <w:r>
        <w:rPr>
          <w:rFonts w:hint="eastAsia" w:ascii="方正仿宋_GBK" w:eastAsia="方正仿宋_GBK"/>
          <w:sz w:val="32"/>
          <w:szCs w:val="32"/>
        </w:rPr>
        <w:t>涪增府发〔2021〕29号</w:t>
      </w:r>
    </w:p>
    <w:p>
      <w:pPr>
        <w:adjustRightInd w:val="0"/>
        <w:snapToGrid w:val="0"/>
        <w:spacing w:line="480" w:lineRule="exact"/>
        <w:ind w:firstLine="880" w:firstLineChars="200"/>
        <w:jc w:val="center"/>
        <w:rPr>
          <w:rFonts w:ascii="方正小标宋_GBK" w:eastAsia="方正小标宋_GBK"/>
          <w:w w:val="90"/>
          <w:sz w:val="44"/>
        </w:rPr>
      </w:pPr>
      <w:r>
        <w:rPr>
          <w:rFonts w:ascii="方正小标宋_GBK" w:eastAsia="方正小标宋_GBK"/>
          <w:sz w:val="44"/>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pStyle w:val="20"/>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重庆市涪陵区增福乡人民政府</w:t>
      </w:r>
    </w:p>
    <w:p>
      <w:pPr>
        <w:pStyle w:val="20"/>
        <w:adjustRightInd w:val="0"/>
        <w:snapToGrid w:val="0"/>
        <w:spacing w:line="560" w:lineRule="exact"/>
        <w:jc w:val="center"/>
        <w:rPr>
          <w:rFonts w:ascii="方正小标宋_GBK" w:eastAsia="方正小标宋_GBK"/>
          <w:sz w:val="44"/>
          <w:szCs w:val="44"/>
        </w:rPr>
      </w:pPr>
      <w:r>
        <w:rPr>
          <w:rFonts w:hint="eastAsia" w:ascii="方正小标宋_GBK" w:eastAsia="方正小标宋_GBK"/>
          <w:spacing w:val="-24"/>
          <w:sz w:val="44"/>
          <w:szCs w:val="44"/>
        </w:rPr>
        <w:t>关于印发《推进城乡居民高血压糖尿病门诊用药保障</w:t>
      </w:r>
      <w:r>
        <w:rPr>
          <w:rFonts w:hint="eastAsia" w:ascii="方正小标宋_GBK" w:eastAsia="方正小标宋_GBK"/>
          <w:sz w:val="44"/>
          <w:szCs w:val="44"/>
        </w:rPr>
        <w:t>和健康管理工作实施方案》的通知</w:t>
      </w:r>
    </w:p>
    <w:p>
      <w:pPr>
        <w:adjustRightInd w:val="0"/>
        <w:snapToGrid w:val="0"/>
        <w:spacing w:afterLines="50" w:line="540" w:lineRule="exact"/>
        <w:rPr>
          <w:rFonts w:ascii="方正仿宋_GBK" w:hAnsi="方正仿宋_GBK" w:cs="方正仿宋_GBK"/>
          <w:szCs w:val="32"/>
        </w:rPr>
      </w:pPr>
    </w:p>
    <w:p>
      <w:pPr>
        <w:adjustRightInd w:val="0"/>
        <w:snapToGrid w:val="0"/>
        <w:spacing w:line="540" w:lineRule="exact"/>
        <w:rPr>
          <w:rFonts w:ascii="方正仿宋_GBK" w:eastAsia="方正仿宋_GBK"/>
          <w:sz w:val="32"/>
          <w:szCs w:val="32"/>
        </w:rPr>
      </w:pPr>
      <w:r>
        <w:rPr>
          <w:rFonts w:hint="eastAsia" w:ascii="方正仿宋_GBK" w:eastAsia="方正仿宋_GBK"/>
          <w:sz w:val="32"/>
          <w:szCs w:val="32"/>
        </w:rPr>
        <w:t>乡辖各村民委员会、乡卫生院、三合卫生分院、各定点医疗店、各村卫生室：</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根据市医保局、市卫生健康委《转发深化城乡居民高血压糖尿病门诊用药保障和健康管理专项行动方案的通知》（渝医保发〔2021〕17号）和区医保局、区卫生健康委《转发市医保局市卫生健康委&lt;关于做好城乡居民高血压糖尿病门诊用药保障和健康管理的通知&gt;的通知》（涪医保发〔2021〕23号）精神，为加快推进我乡城乡居民高血压、糖尿病（以下简称“两病”）门诊用药保障和健康管理工作，结合我乡实际，制定本实施方案。</w:t>
      </w:r>
    </w:p>
    <w:p>
      <w:pPr>
        <w:adjustRightInd w:val="0"/>
        <w:snapToGrid w:val="0"/>
        <w:spacing w:line="540" w:lineRule="exact"/>
        <w:ind w:firstLine="640" w:firstLineChars="200"/>
        <w:rPr>
          <w:rFonts w:ascii="方正黑体_GBK" w:eastAsia="方正黑体_GBK"/>
          <w:sz w:val="32"/>
          <w:szCs w:val="32"/>
        </w:rPr>
      </w:pPr>
      <w:r>
        <w:rPr>
          <w:rFonts w:hint="eastAsia" w:ascii="方正黑体_GBK" w:eastAsia="方正黑体_GBK"/>
          <w:sz w:val="32"/>
          <w:szCs w:val="32"/>
        </w:rPr>
        <w:t>一、指导思想</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坚持以习近平新时代中国特色社会主义思想为指导，全面贯彻落实党的十九大和十九届二中</w:t>
      </w:r>
      <w:r>
        <w:rPr>
          <w:rFonts w:hint="eastAsia" w:ascii="方正仿宋_GBK" w:eastAsia="方正仿宋_GBK"/>
          <w:sz w:val="32"/>
          <w:szCs w:val="32"/>
          <w:lang w:eastAsia="zh-CN"/>
        </w:rPr>
        <w:t>、</w:t>
      </w:r>
      <w:r>
        <w:rPr>
          <w:rFonts w:hint="eastAsia" w:ascii="方正仿宋_GBK" w:eastAsia="方正仿宋_GBK"/>
          <w:sz w:val="32"/>
          <w:szCs w:val="32"/>
        </w:rPr>
        <w:t>三中</w:t>
      </w:r>
      <w:r>
        <w:rPr>
          <w:rFonts w:hint="eastAsia" w:ascii="方正仿宋_GBK" w:eastAsia="方正仿宋_GBK"/>
          <w:sz w:val="32"/>
          <w:szCs w:val="32"/>
          <w:lang w:eastAsia="zh-CN"/>
        </w:rPr>
        <w:t>、</w:t>
      </w:r>
      <w:r>
        <w:rPr>
          <w:rFonts w:hint="eastAsia" w:ascii="方正仿宋_GBK" w:eastAsia="方正仿宋_GBK"/>
          <w:sz w:val="32"/>
          <w:szCs w:val="32"/>
        </w:rPr>
        <w:t>四中</w:t>
      </w:r>
      <w:r>
        <w:rPr>
          <w:rFonts w:hint="eastAsia" w:ascii="方正仿宋_GBK" w:eastAsia="方正仿宋_GBK"/>
          <w:sz w:val="32"/>
          <w:szCs w:val="32"/>
          <w:lang w:eastAsia="zh-CN"/>
        </w:rPr>
        <w:t>、</w:t>
      </w:r>
      <w:r>
        <w:rPr>
          <w:rFonts w:hint="eastAsia" w:ascii="方正仿宋_GBK" w:eastAsia="方正仿宋_GBK"/>
          <w:sz w:val="32"/>
          <w:szCs w:val="32"/>
        </w:rPr>
        <w:t>五中全会精神，按照“保基本、可持续、惠民生、推改革”的总体要求，以城乡居民“两病”患者门诊用药保障为切入点，完善政策措施，优化管理服务，提升保障质量，扩大政策受益面，增强居民医保门诊保障能力，减轻“两病”患者门诊用药费用负担，切实提升参保人员获得感、幸福感。</w:t>
      </w:r>
    </w:p>
    <w:p>
      <w:pPr>
        <w:adjustRightInd w:val="0"/>
        <w:snapToGrid w:val="0"/>
        <w:spacing w:line="540" w:lineRule="exact"/>
        <w:ind w:firstLine="640" w:firstLineChars="200"/>
        <w:rPr>
          <w:rFonts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二、主要原则</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以参保群众利益为中心，坚持以人为本原则；以做好国家基本公共卫生服务和健康管理为主要着力点</w:t>
      </w:r>
      <w:bookmarkStart w:id="0" w:name="_GoBack"/>
      <w:bookmarkEnd w:id="0"/>
      <w:r>
        <w:rPr>
          <w:rFonts w:hint="eastAsia" w:ascii="方正仿宋_GBK" w:eastAsia="方正仿宋_GBK"/>
          <w:sz w:val="32"/>
          <w:szCs w:val="32"/>
        </w:rPr>
        <w:t>，坚持“两病”医防融合原则；以规范管理服务为手段，坚持“尽力而为、量力而行”原则，实现医疗费用成本总体可控、诊疗服务行为规范合理、医保基金安全可持续发展。</w:t>
      </w:r>
    </w:p>
    <w:p>
      <w:pPr>
        <w:adjustRightInd w:val="0"/>
        <w:snapToGrid w:val="0"/>
        <w:spacing w:line="540" w:lineRule="exact"/>
        <w:ind w:firstLine="640" w:firstLineChars="200"/>
        <w:rPr>
          <w:rFonts w:ascii="方正黑体_GBK" w:eastAsia="方正黑体_GBK"/>
          <w:sz w:val="32"/>
          <w:szCs w:val="32"/>
        </w:rPr>
      </w:pPr>
      <w:r>
        <w:rPr>
          <w:rFonts w:hint="eastAsia" w:ascii="方正黑体_GBK" w:eastAsia="方正黑体_GBK"/>
          <w:sz w:val="32"/>
          <w:szCs w:val="32"/>
        </w:rPr>
        <w:t xml:space="preserve">三、总体目标 </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2021年6月中旬基本实现全乡居民“两病”患者用药保障及健康管理全覆盖。</w:t>
      </w:r>
    </w:p>
    <w:p>
      <w:pPr>
        <w:adjustRightInd w:val="0"/>
        <w:snapToGrid w:val="0"/>
        <w:spacing w:line="540" w:lineRule="exact"/>
        <w:ind w:firstLine="640" w:firstLineChars="200"/>
        <w:rPr>
          <w:rFonts w:ascii="方正黑体_GBK" w:eastAsia="方正黑体_GBK"/>
          <w:sz w:val="32"/>
          <w:szCs w:val="32"/>
        </w:rPr>
      </w:pPr>
      <w:r>
        <w:rPr>
          <w:rFonts w:hint="eastAsia" w:ascii="方正黑体_GBK" w:eastAsia="方正黑体_GBK"/>
          <w:sz w:val="32"/>
          <w:szCs w:val="32"/>
        </w:rPr>
        <w:t>四、工作安排</w:t>
      </w:r>
    </w:p>
    <w:p>
      <w:pPr>
        <w:adjustRightInd w:val="0"/>
        <w:snapToGrid w:val="0"/>
        <w:spacing w:line="540" w:lineRule="exact"/>
        <w:ind w:firstLine="640" w:firstLineChars="200"/>
        <w:rPr>
          <w:rFonts w:ascii="方正楷体_GBK" w:eastAsia="方正楷体_GBK"/>
          <w:sz w:val="32"/>
          <w:szCs w:val="32"/>
        </w:rPr>
      </w:pPr>
      <w:r>
        <w:rPr>
          <w:rFonts w:hint="eastAsia" w:ascii="方正楷体_GBK" w:eastAsia="方正楷体_GBK"/>
          <w:sz w:val="32"/>
          <w:szCs w:val="32"/>
        </w:rPr>
        <w:t>（一）推进阶段</w:t>
      </w:r>
    </w:p>
    <w:p>
      <w:pPr>
        <w:numPr>
          <w:ilvl w:val="0"/>
          <w:numId w:val="1"/>
        </w:numPr>
        <w:adjustRightInd w:val="0"/>
        <w:snapToGrid w:val="0"/>
        <w:spacing w:line="540" w:lineRule="exact"/>
        <w:ind w:firstLine="643" w:firstLineChars="200"/>
        <w:rPr>
          <w:rFonts w:ascii="方正仿宋_GBK" w:eastAsia="方正仿宋_GBK"/>
          <w:sz w:val="32"/>
          <w:szCs w:val="32"/>
        </w:rPr>
      </w:pPr>
      <w:r>
        <w:rPr>
          <w:rFonts w:hint="eastAsia" w:ascii="方正仿宋_GBK" w:eastAsia="方正仿宋_GBK"/>
          <w:b/>
          <w:bCs/>
          <w:sz w:val="32"/>
          <w:szCs w:val="32"/>
        </w:rPr>
        <w:t>动员部署（3月30日前）。</w:t>
      </w:r>
      <w:r>
        <w:rPr>
          <w:rFonts w:hint="eastAsia" w:ascii="方正仿宋_GBK" w:eastAsia="方正仿宋_GBK"/>
          <w:sz w:val="32"/>
          <w:szCs w:val="32"/>
        </w:rPr>
        <w:t>成立全乡居民“两病”患者用药保障及健康管理工作领导小组，加强组织领导；制定工作实施方案，明确有关职责分工和时间安排；组织召开全乡工作动员部署暨政策培训会，统一思想认识，推动“两病”工作正式启动。</w:t>
      </w:r>
    </w:p>
    <w:p>
      <w:pPr>
        <w:numPr>
          <w:ilvl w:val="0"/>
          <w:numId w:val="1"/>
        </w:numPr>
        <w:adjustRightInd w:val="0"/>
        <w:snapToGrid w:val="0"/>
        <w:spacing w:line="540" w:lineRule="exact"/>
        <w:ind w:firstLine="643" w:firstLineChars="200"/>
        <w:rPr>
          <w:rFonts w:ascii="方正仿宋_GBK" w:eastAsia="方正仿宋_GBK"/>
          <w:sz w:val="32"/>
          <w:szCs w:val="32"/>
        </w:rPr>
      </w:pPr>
      <w:r>
        <w:rPr>
          <w:rFonts w:hint="eastAsia" w:ascii="方正仿宋_GBK" w:eastAsia="方正仿宋_GBK"/>
          <w:b/>
          <w:bCs/>
          <w:sz w:val="32"/>
          <w:szCs w:val="32"/>
        </w:rPr>
        <w:t>组织实施（4月—6月）。</w:t>
      </w:r>
      <w:r>
        <w:rPr>
          <w:rFonts w:hint="eastAsia" w:ascii="方正仿宋_GBK" w:eastAsia="方正仿宋_GBK"/>
          <w:sz w:val="32"/>
          <w:szCs w:val="32"/>
        </w:rPr>
        <w:t>加强政策宣传、报道和业务经办培训；加强信息共享，将“两病”患者全部纳入保障范围；调研、统计全乡“两病”用药需求，做好用药保障；做好医保待遇支付、用药评估和数据统计分析；加强“两病”享受人员、诊断医师资格及“两病”用药情况监管；加强对各乡镇（街道）、定点医药机构“两病”工作推进情况的督导。</w:t>
      </w:r>
    </w:p>
    <w:p>
      <w:pPr>
        <w:adjustRightInd w:val="0"/>
        <w:snapToGrid w:val="0"/>
        <w:spacing w:line="540" w:lineRule="exact"/>
        <w:ind w:firstLine="643" w:firstLineChars="200"/>
        <w:rPr>
          <w:rFonts w:ascii="方正仿宋_GBK" w:eastAsia="方正仿宋_GBK"/>
          <w:sz w:val="32"/>
          <w:szCs w:val="32"/>
        </w:rPr>
      </w:pPr>
      <w:r>
        <w:rPr>
          <w:rFonts w:hint="eastAsia" w:ascii="方正仿宋_GBK" w:eastAsia="方正仿宋_GBK"/>
          <w:b/>
          <w:bCs/>
          <w:sz w:val="32"/>
          <w:szCs w:val="32"/>
        </w:rPr>
        <w:t>3．考核总结（12月底前）。</w:t>
      </w:r>
      <w:r>
        <w:rPr>
          <w:rFonts w:hint="eastAsia" w:ascii="方正仿宋_GBK" w:eastAsia="方正仿宋_GBK"/>
          <w:sz w:val="32"/>
          <w:szCs w:val="32"/>
        </w:rPr>
        <w:t>建立健全基层医疗卫生机构绩效考核机制，完善医保服务协议考核办法和指标体系。做好基层医疗卫生机构公共卫生服务的绩效及医保服务协议年终考核；及时对“两病”工作进行总结。</w:t>
      </w:r>
    </w:p>
    <w:p>
      <w:pPr>
        <w:adjustRightInd w:val="0"/>
        <w:snapToGrid w:val="0"/>
        <w:spacing w:line="540" w:lineRule="exact"/>
        <w:ind w:firstLine="640" w:firstLineChars="200"/>
        <w:rPr>
          <w:rFonts w:ascii="方正楷体_GBK" w:eastAsia="方正楷体_GBK"/>
          <w:sz w:val="32"/>
          <w:szCs w:val="32"/>
        </w:rPr>
      </w:pPr>
      <w:r>
        <w:rPr>
          <w:rFonts w:hint="eastAsia" w:ascii="方正楷体_GBK" w:eastAsia="方正楷体_GBK"/>
          <w:sz w:val="32"/>
          <w:szCs w:val="32"/>
        </w:rPr>
        <w:t>（二）常态化阶段</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做好用药保障、待遇支付、数据统计分析、医疗服务行为监管、考核及医保费用清算等工作。</w:t>
      </w:r>
    </w:p>
    <w:p>
      <w:pPr>
        <w:adjustRightInd w:val="0"/>
        <w:snapToGrid w:val="0"/>
        <w:spacing w:line="540" w:lineRule="exact"/>
        <w:ind w:firstLine="640" w:firstLineChars="200"/>
        <w:rPr>
          <w:rFonts w:ascii="方正黑体_GBK" w:eastAsia="方正黑体_GBK"/>
          <w:sz w:val="32"/>
          <w:szCs w:val="32"/>
        </w:rPr>
      </w:pPr>
      <w:r>
        <w:rPr>
          <w:rFonts w:hint="eastAsia" w:ascii="方正黑体_GBK" w:eastAsia="方正黑体_GBK"/>
          <w:sz w:val="32"/>
          <w:szCs w:val="32"/>
        </w:rPr>
        <w:t>五、工作要求</w:t>
      </w:r>
    </w:p>
    <w:p>
      <w:pPr>
        <w:adjustRightInd w:val="0"/>
        <w:snapToGrid w:val="0"/>
        <w:spacing w:line="540" w:lineRule="exact"/>
        <w:ind w:firstLine="640" w:firstLineChars="200"/>
        <w:rPr>
          <w:rFonts w:ascii="方正仿宋_GBK" w:eastAsia="方正仿宋_GBK"/>
          <w:sz w:val="32"/>
          <w:szCs w:val="32"/>
        </w:rPr>
      </w:pPr>
      <w:r>
        <w:rPr>
          <w:rFonts w:hint="eastAsia" w:ascii="方正楷体_GBK" w:eastAsia="方正楷体_GBK"/>
          <w:bCs/>
          <w:sz w:val="32"/>
          <w:szCs w:val="32"/>
        </w:rPr>
        <w:t>（一）提高思想认识，加强组织领导。</w:t>
      </w:r>
      <w:r>
        <w:rPr>
          <w:rFonts w:hint="eastAsia" w:ascii="方正仿宋_GBK" w:eastAsia="方正仿宋_GBK"/>
          <w:sz w:val="32"/>
          <w:szCs w:val="32"/>
        </w:rPr>
        <w:t>居民“两病”门诊用药保障和健康管理工作是落实党中央、国务院决策部署和习近平总书记有关“推进疾病治疗向健康管理转变”重要指示精神的重要举措，是一项重要的民生工程。乡政府成立了增福乡城乡居民高血压糖尿病门诊用药保障和健康管理工作领导小组，由乡主要领导任组长、分管领导任副组长、相关单位负责人为成员。乡卫生院及各村卫生室要提高政治站位，统筹安排，选派精干力量，细化工作方案，严格责任落实，按照时间表、路线图抓实抓细“两病”门诊用药保障和健康管理工作。</w:t>
      </w:r>
    </w:p>
    <w:p>
      <w:pPr>
        <w:adjustRightInd w:val="0"/>
        <w:snapToGrid w:val="0"/>
        <w:spacing w:line="540" w:lineRule="exact"/>
        <w:ind w:firstLine="640" w:firstLineChars="200"/>
        <w:rPr>
          <w:rFonts w:ascii="方正仿宋_GBK" w:eastAsia="方正仿宋_GBK"/>
          <w:sz w:val="32"/>
          <w:szCs w:val="32"/>
        </w:rPr>
      </w:pPr>
      <w:r>
        <w:rPr>
          <w:rFonts w:hint="eastAsia" w:ascii="方正楷体_GBK" w:eastAsia="方正楷体_GBK"/>
          <w:sz w:val="32"/>
          <w:szCs w:val="32"/>
        </w:rPr>
        <w:t>（二）规范诊疗服务，强化健康管理。</w:t>
      </w:r>
      <w:r>
        <w:rPr>
          <w:rFonts w:hint="eastAsia" w:ascii="方正仿宋_GBK" w:eastAsia="方正仿宋_GBK"/>
          <w:sz w:val="32"/>
          <w:szCs w:val="32"/>
        </w:rPr>
        <w:t>乡卫生院及各村卫生室要严格按照用药指南和规范，为“两病”患者提供优质、规范的诊疗服务，将符合资格条件的“两病”患者全部依法纳入门诊用药保障；同时要认真指导“两病”患者自主选择付费方式，将“两病”患者信息及时推送到医保“两病”管理结算平台，。乡卫生院要加强对辖区内村卫生室的管理和指导，落实国家基本公共卫生服务项目中“两病”管理责任，按照项目管理规范，并将新确诊的“两病”患者信息收集整理，将其作为家庭医生签约服务重点对象，建立电子健康档案，开展随访和重点指标监测，做好用药指导和健康促进工作；针对不同人群、不同服务需求提供精准健康服务，着力推进“两病”“医防融合”。</w:t>
      </w:r>
    </w:p>
    <w:p>
      <w:pPr>
        <w:adjustRightInd w:val="0"/>
        <w:snapToGrid w:val="0"/>
        <w:spacing w:line="540" w:lineRule="exact"/>
        <w:ind w:firstLine="640" w:firstLineChars="200"/>
        <w:rPr>
          <w:rFonts w:ascii="方正仿宋_GBK" w:eastAsia="方正仿宋_GBK"/>
          <w:sz w:val="32"/>
          <w:szCs w:val="32"/>
        </w:rPr>
      </w:pPr>
      <w:r>
        <w:rPr>
          <w:rFonts w:hint="eastAsia" w:ascii="方正楷体_GBK" w:eastAsia="方正楷体_GBK"/>
          <w:sz w:val="32"/>
          <w:szCs w:val="32"/>
        </w:rPr>
        <w:t>（三）加强宣传培训，确保政策落地。</w:t>
      </w:r>
      <w:r>
        <w:rPr>
          <w:rFonts w:hint="eastAsia" w:ascii="方正仿宋_GBK" w:eastAsia="方正仿宋_GBK"/>
          <w:sz w:val="32"/>
          <w:szCs w:val="32"/>
        </w:rPr>
        <w:t>乡政府、乡卫生院要充分利用广播、QQ、微信等线上媒体和横幅、展板、宣传栏、宣传册线下宣传资料，加强对“两病”门诊用药保障和健康管理政策的宣传。加大“两病”门诊用药保障和健康管理政策宣传力度，让群众知晓“两病”危害性，提高群众政策知晓度，引导参保群众主动申报，早诊断、早预防、早治疗，确保“两病”用药保障人群全覆盖。</w:t>
      </w:r>
    </w:p>
    <w:p>
      <w:pPr>
        <w:adjustRightInd w:val="0"/>
        <w:snapToGrid w:val="0"/>
        <w:spacing w:line="540" w:lineRule="exact"/>
        <w:ind w:firstLine="640" w:firstLineChars="200"/>
        <w:rPr>
          <w:rFonts w:hint="eastAsia" w:ascii="方正仿宋_GBK" w:hAnsi="FangSong_GB2312" w:eastAsia="方正仿宋_GBK" w:cs="FangSong_GB2312"/>
          <w:bCs/>
          <w:sz w:val="32"/>
          <w:szCs w:val="32"/>
        </w:rPr>
      </w:pPr>
    </w:p>
    <w:p>
      <w:pPr>
        <w:adjustRightInd w:val="0"/>
        <w:snapToGrid w:val="0"/>
        <w:spacing w:line="540" w:lineRule="exact"/>
        <w:ind w:firstLine="640" w:firstLineChars="200"/>
        <w:rPr>
          <w:rFonts w:ascii="方正仿宋_GBK" w:hAnsi="宋体" w:eastAsia="方正仿宋_GBK" w:cs="宋体"/>
          <w:kern w:val="0"/>
          <w:sz w:val="32"/>
          <w:szCs w:val="32"/>
        </w:rPr>
      </w:pPr>
      <w:r>
        <w:rPr>
          <w:rFonts w:hint="eastAsia" w:ascii="方正仿宋_GBK" w:eastAsia="方正仿宋_GBK"/>
          <w:sz w:val="32"/>
          <w:szCs w:val="32"/>
        </w:rPr>
        <w:t xml:space="preserve">                    </w:t>
      </w:r>
      <w:r>
        <w:rPr>
          <w:rFonts w:hint="eastAsia" w:ascii="方正仿宋_GBK" w:hAnsi="宋体" w:eastAsia="方正仿宋_GBK" w:cs="宋体"/>
          <w:kern w:val="0"/>
          <w:sz w:val="32"/>
          <w:szCs w:val="32"/>
        </w:rPr>
        <w:t>重庆市涪陵区增</w:t>
      </w:r>
      <w:r>
        <w:rPr>
          <w:rFonts w:ascii="方正仿宋_GBK" w:hAnsi="宋体" w:eastAsia="方正仿宋_GBK" w:cs="宋体"/>
          <w:kern w:val="0"/>
          <w:sz w:val="32"/>
          <w:szCs w:val="32"/>
        </w:rPr>
        <w:pict>
          <v:shape id="_x0000_s1032" o:spid="_x0000_s1032" o:spt="201" type="#_x0000_t201" style="position:absolute;left:0pt;margin-left:247.1pt;margin-top:544.7pt;height:119.25pt;width:119.25pt;mso-position-vertical-relative:page;z-index:-251653120;mso-width-relative:page;mso-height-relative:page;" o:ole="t" filled="f" stroked="f" coordsize="21600,21600">
            <v:path/>
            <v:fill on="f" focussize="0,0"/>
            <v:stroke on="f" joinstyle="miter"/>
            <v:imagedata r:id="rId6" o:title=""/>
            <o:lock v:ext="edit"/>
          </v:shape>
        </w:pict>
      </w:r>
      <w:r>
        <w:rPr>
          <w:rFonts w:hint="eastAsia" w:ascii="方正仿宋_GBK" w:hAnsi="宋体" w:eastAsia="方正仿宋_GBK" w:cs="宋体"/>
          <w:kern w:val="0"/>
          <w:sz w:val="32"/>
          <w:szCs w:val="32"/>
        </w:rPr>
        <w:t>福乡人民政府</w:t>
      </w:r>
    </w:p>
    <w:p>
      <w:pPr>
        <w:adjustRightInd w:val="0"/>
        <w:snapToGrid w:val="0"/>
        <w:spacing w:line="540" w:lineRule="exact"/>
        <w:ind w:firstLine="640" w:firstLineChars="200"/>
        <w:rPr>
          <w:rFonts w:hint="eastAsia" w:ascii="方正仿宋_GBK" w:hAnsi="宋体" w:eastAsia="方正仿宋_GBK" w:cs="宋体"/>
          <w:kern w:val="0"/>
          <w:sz w:val="32"/>
          <w:szCs w:val="32"/>
        </w:rPr>
      </w:pPr>
      <w:r>
        <w:rPr>
          <w:rFonts w:hint="eastAsia" w:ascii="方正仿宋_GBK" w:eastAsia="方正仿宋_GBK"/>
          <w:sz w:val="32"/>
          <w:szCs w:val="32"/>
        </w:rPr>
        <w:t xml:space="preserve">                          </w:t>
      </w:r>
      <w:r>
        <w:rPr>
          <w:rFonts w:hint="eastAsia" w:ascii="方正仿宋_GBK" w:hAnsi="宋体" w:eastAsia="方正仿宋_GBK" w:cs="宋体"/>
          <w:kern w:val="0"/>
          <w:sz w:val="32"/>
          <w:szCs w:val="32"/>
        </w:rPr>
        <w:t>2021年4月1日</w:t>
      </w:r>
    </w:p>
    <w:p>
      <w:pPr>
        <w:adjustRightInd w:val="0"/>
        <w:snapToGrid w:val="0"/>
        <w:spacing w:line="54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rPr>
          <w:rFonts w:ascii="方正仿宋_GBK" w:hAnsi="方正仿宋_GBK" w:eastAsia="方正仿宋_GBK" w:cs="方正仿宋_GBK"/>
          <w:color w:val="000000"/>
          <w:szCs w:val="32"/>
        </w:rPr>
      </w:pPr>
    </w:p>
    <w:p>
      <w:pPr>
        <w:spacing w:line="560" w:lineRule="exact"/>
        <w:rPr>
          <w:rFonts w:ascii="方正仿宋_GBK" w:eastAsia="方正仿宋_GBK"/>
          <w:sz w:val="28"/>
          <w:szCs w:val="28"/>
        </w:rPr>
      </w:pPr>
      <w:r>
        <w:rPr>
          <w:rFonts w:ascii="方正仿宋_GBK" w:eastAsia="方正仿宋_GBK"/>
          <w:sz w:val="28"/>
          <w:szCs w:val="28"/>
        </w:rPr>
        <w:pict>
          <v:line id="直线 19" o:spid="_x0000_s1030"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sz w:val="28"/>
          <w:szCs w:val="28"/>
        </w:rPr>
        <w:pict>
          <v:line id="直线 18" o:spid="_x0000_s1029"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color w:val="000000"/>
          <w:sz w:val="28"/>
          <w:szCs w:val="28"/>
        </w:rPr>
        <w:t>重庆市涪陵区增福乡党政办公室                2021年4月8日印发</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5"/>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1</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5"/>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2</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C4A1C"/>
    <w:multiLevelType w:val="singleLevel"/>
    <w:tmpl w:val="0CAC4A1C"/>
    <w:lvl w:ilvl="0" w:tentative="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77C6D9A-19C1-4E02-BA47-3B8D735C4A1F}" w:val="lpaKXUeMAHjoRvrfWxd8Zq7N1Q=S+JEFc6gkTCzBOwVYuI29Gth4PysnL0Dbmi5/3"/>
    <w:docVar w:name="{0BD98114-397D-45A5-BBD3-A34CC0542E02}" w:val="lpaKXUeMAHjoRvrfWxd8Zq7N1Q=S+JEFc6gkTCzBOwVYuI29Gth4PysnL0Dbmi5/3"/>
    <w:docVar w:name="{0C6B0B09-19CC-44E2-ADB1-9B135658D707}" w:val="lpaKXUeMAHjoRvrfWxd8Zq7N1Q=S+JEFc6gkTCzBOwVYuI29Gth4PysnL0Dbmi5/3"/>
    <w:docVar w:name="{1034ABB7-CC09-4FD4-9863-009A16D984EB}" w:val="lpaKXUeMAHjoRvrfWxd8Zq7N1Q=S+JEFc6gkTCzBOwVYuI29Gth4PysnL0Dbmi5/3"/>
    <w:docVar w:name="{12A7519E-3DD6-4B4A-B32C-B5BD9C98D98C}"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A50B1-760F-4218-A768-1E9CD124D75A}" w:val="lpaKXUeMAHjoRvrfWxd8Zq7N1Q=S+JEFc6gkTCzBOwVYuI29Gth4PysnL0Dbmi5/3"/>
    <w:docVar w:name="{25298374-EA29-4FFD-AAB6-FD7DA267E18A}"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6253E64-78C3-4DC8-BE82-B6EF5FF5F8AC}" w:val="lpaKXUeMAHjoRvrfWxd8Zq7N1Q=S+JEFc6gkTCzBOwVYuI29Gth4PysnL0Dbmi5/3"/>
    <w:docVar w:name="{36AFAF11-2D76-4A1A-9E07-45AAAA035B24}" w:val="lpaKXUeMAHjoRvrfWxd8Zq7N1Q=S+JEFc6gkTCzBOwVYuI29Gth4PysnL0Dbmi5/3"/>
    <w:docVar w:name="{3AE8B4E1-1B3A-4381-A7F9-AF72A4DF3DB5}" w:val="lpaKXUeMAHjoRvrfWxd8Zq7N1Q=S+JEFc6gkTCzBOwVYuI29Gth4PysnL0Dbmi5/3"/>
    <w:docVar w:name="{3E100D93-A9CD-4488-883F-D0CF6C99CF10}" w:val="lpaKXUeMAHjoRvrfWxd8Zq7N1Q=S+JEFc6gkTCzBOwVYuI29Gth4PysnL0Dbmi5/3"/>
    <w:docVar w:name="{405878B1-824C-4BF3-A66F-2BD7971F5AF3}" w:val="lpaKXUeMAHjoRvrfWxd8Zq7N1Q=S+JEFc6gkTCzBOwVYuI29Gth4PysnL0Dbmi5/3"/>
    <w:docVar w:name="{42B4B6A7-6340-4DBF-BD90-C0EDDBD7EFF5}"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0F0D727-905B-4686-B41B-AB5DE6400724}" w:val="lpaKXUeMAHjoRvrfWxd8Zq7N1Q=S+JEFc6gkTCzBOwVYuI29Gth4PysnL0Dbmi5/3"/>
    <w:docVar w:name="{8223D35B-53F4-41D3-85A0-D6501030C4F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8FFF4016-0F0F-489B-92A3-C9521B0A278B}" w:val="lpaKXUeMAHjoRvrfWxd8Zq7N1Q=S+JEFc6gkTCzBOwVYuI29Gth4PysnL0Dbmi5/3"/>
    <w:docVar w:name="{9AB19820-DCE9-44A5-B3CF-C41FC7436CEE}" w:val="lpaKXUeMAHjoRvrfWxd8Zq7N1Q=S+JEFc6gkTCzBOwVYuI29Gth4PysnL0Dbmi5/3"/>
    <w:docVar w:name="{9C086862-6A87-4984-8214-0CF3110E0DB1}"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4F4FE34-BB82-4483-B374-0BB8A1591C54}" w:val="lpaKXUeMAHjoRvrfWxd8Zq7N1Q=S+JEFc6gkTCzBOwVYuI29Gth4PysnL0Dbmi5/3"/>
    <w:docVar w:name="{A59136CA-C22B-4C41-B16F-40C3FF5515F1}" w:val="lpaKXUeMAHjoRvrfWxd8Zq7N1Q=S+JEFc6gkTCzBOwVYuI29Gth4PysnL0Dbmi5/3"/>
    <w:docVar w:name="{A70DBDF7-62C7-4287-AA29-A0CD6AF6B329}" w:val="lpaKXUeMAHjoRvrfWxd8Zq7N1Q=S+JEFc6gkTCzBOwVYuI29Gth4PysnL0Dbmi5/3"/>
    <w:docVar w:name="{ABC7A18C-A1CC-439E-940B-3A7307C41AF1}" w:val="lpaKXUeMAHjoRvrfWxd8Zq7N1Q=S+JEFc6gkTCzBOwVYuI29Gth4PysnL0Dbmi5/3"/>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764F315-6C74-464C-8C8F-49DF10F61C8B}" w:val="lpaKXUeMAHjoRvrfWxd8Zq7N1Q=S+JEFc6gkTCzBOwVYuI29Gth4PysnL0Dbmi5/3"/>
    <w:docVar w:name="{BC85975B-2EAA-43A0-A630-9B6925C827FC}" w:val="lpaKXUeMAHjoRvrfWxd8Zq7N1Q=S+JEFc6gkTCzBOwVYuI29Gth4PysnL0Dbmi5/3"/>
    <w:docVar w:name="{BD67EF89-42CA-4481-9EDE-CE8C3002F961}" w:val="lpaKXUeMAHjoRvrfWxd8Zq7N1Q=S+JEFc6gkTCzBOwVYuI29Gth4PysnL0Dbmi5/3"/>
    <w:docVar w:name="{C0C496DA-BA88-4D6E-8CEC-642ED44FC638}"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2EF4B82-4923-4833-9325-7A55FE25B3F2}"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F4618ABB-C334-44AF-A678-3CF4A119410A}" w:val="lpaKXUeMAHjoRvrfWxd8Zq7N1Q=S+JEFc6gkTCzBOwVYuI29Gth4PysnL0Dbmi5/3"/>
    <w:docVar w:name="{F63B3EB0-1514-4D06-84CB-2CC97314D80F}" w:val="lpaKXUeMAHjoRvrfWxd8Zq7N1Q=S+JEFc6gkTCzBOwVYuI29Gth4PysnL0Dbmi5/3"/>
    <w:docVar w:name="{F7D14BB2-526C-48FA-80F6-EDD773DDB6EA}"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commondata" w:val="eyJoZGlkIjoiOTUyYTZmN2UzYzgwMTZiNTQ5OTk0ZmI1MDJmNWI5MjYifQ=="/>
    <w:docVar w:name="DocumentID" w:val="{F325A924-B4E9-4133-B8BE-A2027B17A154}"/>
  </w:docVars>
  <w:rsids>
    <w:rsidRoot w:val="001C01C7"/>
    <w:rsid w:val="00004184"/>
    <w:rsid w:val="00011EEE"/>
    <w:rsid w:val="00021409"/>
    <w:rsid w:val="00026D16"/>
    <w:rsid w:val="000336D8"/>
    <w:rsid w:val="00051EF4"/>
    <w:rsid w:val="0005679D"/>
    <w:rsid w:val="00057133"/>
    <w:rsid w:val="000621CE"/>
    <w:rsid w:val="00062D83"/>
    <w:rsid w:val="00071E2C"/>
    <w:rsid w:val="00081DEC"/>
    <w:rsid w:val="00095E1E"/>
    <w:rsid w:val="000A5CF0"/>
    <w:rsid w:val="000B19D9"/>
    <w:rsid w:val="000C4F36"/>
    <w:rsid w:val="000D0E9A"/>
    <w:rsid w:val="000D2CDC"/>
    <w:rsid w:val="000D61AA"/>
    <w:rsid w:val="000E6DFD"/>
    <w:rsid w:val="000F5A93"/>
    <w:rsid w:val="00100144"/>
    <w:rsid w:val="0010542D"/>
    <w:rsid w:val="00106D64"/>
    <w:rsid w:val="001164C3"/>
    <w:rsid w:val="00117728"/>
    <w:rsid w:val="00117DE7"/>
    <w:rsid w:val="0012098C"/>
    <w:rsid w:val="001226C0"/>
    <w:rsid w:val="00123ECE"/>
    <w:rsid w:val="00137D2A"/>
    <w:rsid w:val="00144705"/>
    <w:rsid w:val="00172169"/>
    <w:rsid w:val="00181D17"/>
    <w:rsid w:val="001A1EB7"/>
    <w:rsid w:val="001B01C8"/>
    <w:rsid w:val="001B191D"/>
    <w:rsid w:val="001B4C0F"/>
    <w:rsid w:val="001B7DBC"/>
    <w:rsid w:val="001C01C7"/>
    <w:rsid w:val="001C75EB"/>
    <w:rsid w:val="001D1791"/>
    <w:rsid w:val="001D349C"/>
    <w:rsid w:val="001E3912"/>
    <w:rsid w:val="001F4E65"/>
    <w:rsid w:val="00201503"/>
    <w:rsid w:val="00205CF8"/>
    <w:rsid w:val="00210DA2"/>
    <w:rsid w:val="00222A8C"/>
    <w:rsid w:val="00224C15"/>
    <w:rsid w:val="00232D19"/>
    <w:rsid w:val="00245E9D"/>
    <w:rsid w:val="002462AC"/>
    <w:rsid w:val="00264626"/>
    <w:rsid w:val="00267634"/>
    <w:rsid w:val="00270F21"/>
    <w:rsid w:val="00272A81"/>
    <w:rsid w:val="00272B62"/>
    <w:rsid w:val="002A06C1"/>
    <w:rsid w:val="002A1043"/>
    <w:rsid w:val="002A6B22"/>
    <w:rsid w:val="002D36E4"/>
    <w:rsid w:val="002D6B34"/>
    <w:rsid w:val="002D6D13"/>
    <w:rsid w:val="002F083F"/>
    <w:rsid w:val="002F4129"/>
    <w:rsid w:val="002F4C79"/>
    <w:rsid w:val="0031543B"/>
    <w:rsid w:val="003260BF"/>
    <w:rsid w:val="00334B00"/>
    <w:rsid w:val="003406C0"/>
    <w:rsid w:val="00361679"/>
    <w:rsid w:val="003637B6"/>
    <w:rsid w:val="00367544"/>
    <w:rsid w:val="0037457B"/>
    <w:rsid w:val="00376038"/>
    <w:rsid w:val="00381455"/>
    <w:rsid w:val="00386C96"/>
    <w:rsid w:val="003935CC"/>
    <w:rsid w:val="003A33CB"/>
    <w:rsid w:val="003A678F"/>
    <w:rsid w:val="003B0DD3"/>
    <w:rsid w:val="003B2FBF"/>
    <w:rsid w:val="003B7A92"/>
    <w:rsid w:val="003C1109"/>
    <w:rsid w:val="003C1C62"/>
    <w:rsid w:val="003E71EC"/>
    <w:rsid w:val="00403243"/>
    <w:rsid w:val="00404CEB"/>
    <w:rsid w:val="00411563"/>
    <w:rsid w:val="00420383"/>
    <w:rsid w:val="00422601"/>
    <w:rsid w:val="00426358"/>
    <w:rsid w:val="004321AA"/>
    <w:rsid w:val="00433373"/>
    <w:rsid w:val="004370A2"/>
    <w:rsid w:val="0044481A"/>
    <w:rsid w:val="00463BEA"/>
    <w:rsid w:val="004642F5"/>
    <w:rsid w:val="00481141"/>
    <w:rsid w:val="004836A8"/>
    <w:rsid w:val="004A0292"/>
    <w:rsid w:val="004A7EE6"/>
    <w:rsid w:val="004B392C"/>
    <w:rsid w:val="004C2C08"/>
    <w:rsid w:val="004C7C30"/>
    <w:rsid w:val="004D2FBD"/>
    <w:rsid w:val="004D3C47"/>
    <w:rsid w:val="004D4A1F"/>
    <w:rsid w:val="004D5222"/>
    <w:rsid w:val="004E1E3F"/>
    <w:rsid w:val="004E1FFA"/>
    <w:rsid w:val="004E64FC"/>
    <w:rsid w:val="004E6A7E"/>
    <w:rsid w:val="004F3B08"/>
    <w:rsid w:val="004F3EBC"/>
    <w:rsid w:val="00507C71"/>
    <w:rsid w:val="00511B0F"/>
    <w:rsid w:val="00526F06"/>
    <w:rsid w:val="005339BD"/>
    <w:rsid w:val="005408D2"/>
    <w:rsid w:val="00546DD3"/>
    <w:rsid w:val="00560E92"/>
    <w:rsid w:val="00567BA4"/>
    <w:rsid w:val="005714D1"/>
    <w:rsid w:val="005714D8"/>
    <w:rsid w:val="005A1014"/>
    <w:rsid w:val="005B1885"/>
    <w:rsid w:val="005B7D47"/>
    <w:rsid w:val="005D45F5"/>
    <w:rsid w:val="005E6268"/>
    <w:rsid w:val="005E73DA"/>
    <w:rsid w:val="005F0DD3"/>
    <w:rsid w:val="00604E17"/>
    <w:rsid w:val="0060761D"/>
    <w:rsid w:val="006112A7"/>
    <w:rsid w:val="00614E77"/>
    <w:rsid w:val="00615B52"/>
    <w:rsid w:val="00631A91"/>
    <w:rsid w:val="006434FE"/>
    <w:rsid w:val="0065225D"/>
    <w:rsid w:val="00656FF1"/>
    <w:rsid w:val="00667934"/>
    <w:rsid w:val="00682A67"/>
    <w:rsid w:val="00686237"/>
    <w:rsid w:val="00686F88"/>
    <w:rsid w:val="00692664"/>
    <w:rsid w:val="006947F0"/>
    <w:rsid w:val="006A2B24"/>
    <w:rsid w:val="006A3047"/>
    <w:rsid w:val="006B3A8C"/>
    <w:rsid w:val="006B7DAF"/>
    <w:rsid w:val="006C6742"/>
    <w:rsid w:val="006E10B6"/>
    <w:rsid w:val="006F1A8B"/>
    <w:rsid w:val="00720344"/>
    <w:rsid w:val="00730DFE"/>
    <w:rsid w:val="00732D99"/>
    <w:rsid w:val="007575B6"/>
    <w:rsid w:val="00770A8A"/>
    <w:rsid w:val="007736DA"/>
    <w:rsid w:val="00783793"/>
    <w:rsid w:val="00797DDB"/>
    <w:rsid w:val="007B10CD"/>
    <w:rsid w:val="007C2E25"/>
    <w:rsid w:val="007C63BE"/>
    <w:rsid w:val="007D32DB"/>
    <w:rsid w:val="007D4E26"/>
    <w:rsid w:val="007D5F46"/>
    <w:rsid w:val="007D721D"/>
    <w:rsid w:val="007E3092"/>
    <w:rsid w:val="007F2A17"/>
    <w:rsid w:val="008103A8"/>
    <w:rsid w:val="008130F2"/>
    <w:rsid w:val="00816ACB"/>
    <w:rsid w:val="008305B9"/>
    <w:rsid w:val="0083124C"/>
    <w:rsid w:val="00841E9D"/>
    <w:rsid w:val="00841EAC"/>
    <w:rsid w:val="008431A6"/>
    <w:rsid w:val="00856A68"/>
    <w:rsid w:val="00863B76"/>
    <w:rsid w:val="0086525B"/>
    <w:rsid w:val="00867755"/>
    <w:rsid w:val="0087651C"/>
    <w:rsid w:val="008818FF"/>
    <w:rsid w:val="00896BD3"/>
    <w:rsid w:val="008C3DF0"/>
    <w:rsid w:val="008D100E"/>
    <w:rsid w:val="008D1893"/>
    <w:rsid w:val="00900AF0"/>
    <w:rsid w:val="00914464"/>
    <w:rsid w:val="00926B54"/>
    <w:rsid w:val="00930D7A"/>
    <w:rsid w:val="00932277"/>
    <w:rsid w:val="00961457"/>
    <w:rsid w:val="00975940"/>
    <w:rsid w:val="00977106"/>
    <w:rsid w:val="00992954"/>
    <w:rsid w:val="009A25B0"/>
    <w:rsid w:val="009C3081"/>
    <w:rsid w:val="009C4626"/>
    <w:rsid w:val="009E0343"/>
    <w:rsid w:val="009E0F8E"/>
    <w:rsid w:val="009E4B22"/>
    <w:rsid w:val="009F097F"/>
    <w:rsid w:val="009F16EE"/>
    <w:rsid w:val="00A00B4D"/>
    <w:rsid w:val="00A04787"/>
    <w:rsid w:val="00A20D72"/>
    <w:rsid w:val="00A26E3B"/>
    <w:rsid w:val="00A351FE"/>
    <w:rsid w:val="00A355DE"/>
    <w:rsid w:val="00A40CCE"/>
    <w:rsid w:val="00A47C2E"/>
    <w:rsid w:val="00A5736B"/>
    <w:rsid w:val="00A6141A"/>
    <w:rsid w:val="00A70BA7"/>
    <w:rsid w:val="00A74331"/>
    <w:rsid w:val="00A936BB"/>
    <w:rsid w:val="00AA0955"/>
    <w:rsid w:val="00AB4A96"/>
    <w:rsid w:val="00AB571F"/>
    <w:rsid w:val="00AC1F32"/>
    <w:rsid w:val="00AC21DE"/>
    <w:rsid w:val="00AD4434"/>
    <w:rsid w:val="00AD57FE"/>
    <w:rsid w:val="00AE16BD"/>
    <w:rsid w:val="00AF1F71"/>
    <w:rsid w:val="00AF46B1"/>
    <w:rsid w:val="00AF7329"/>
    <w:rsid w:val="00B02D1B"/>
    <w:rsid w:val="00B10023"/>
    <w:rsid w:val="00B26E7A"/>
    <w:rsid w:val="00B32588"/>
    <w:rsid w:val="00B6130D"/>
    <w:rsid w:val="00B62ECE"/>
    <w:rsid w:val="00B747FC"/>
    <w:rsid w:val="00B8038B"/>
    <w:rsid w:val="00B804CC"/>
    <w:rsid w:val="00BA6565"/>
    <w:rsid w:val="00BD71D5"/>
    <w:rsid w:val="00BE4DB9"/>
    <w:rsid w:val="00BF79BC"/>
    <w:rsid w:val="00C0142B"/>
    <w:rsid w:val="00C03891"/>
    <w:rsid w:val="00C103F0"/>
    <w:rsid w:val="00C15BE5"/>
    <w:rsid w:val="00C15D6A"/>
    <w:rsid w:val="00C244BF"/>
    <w:rsid w:val="00C309EA"/>
    <w:rsid w:val="00C34EB2"/>
    <w:rsid w:val="00C419DF"/>
    <w:rsid w:val="00C43901"/>
    <w:rsid w:val="00C44D3D"/>
    <w:rsid w:val="00C90247"/>
    <w:rsid w:val="00CA7D6C"/>
    <w:rsid w:val="00CB000A"/>
    <w:rsid w:val="00CC2EE2"/>
    <w:rsid w:val="00CD1818"/>
    <w:rsid w:val="00CD426E"/>
    <w:rsid w:val="00CD6913"/>
    <w:rsid w:val="00CE13A1"/>
    <w:rsid w:val="00D132FC"/>
    <w:rsid w:val="00D14812"/>
    <w:rsid w:val="00D16A7C"/>
    <w:rsid w:val="00D16EB7"/>
    <w:rsid w:val="00D269D2"/>
    <w:rsid w:val="00D32264"/>
    <w:rsid w:val="00D34AAE"/>
    <w:rsid w:val="00D50BD3"/>
    <w:rsid w:val="00D72ECE"/>
    <w:rsid w:val="00D90B42"/>
    <w:rsid w:val="00D91636"/>
    <w:rsid w:val="00D924FB"/>
    <w:rsid w:val="00DB5995"/>
    <w:rsid w:val="00DC241A"/>
    <w:rsid w:val="00DC2625"/>
    <w:rsid w:val="00DD323F"/>
    <w:rsid w:val="00DD3F1E"/>
    <w:rsid w:val="00DF0CC8"/>
    <w:rsid w:val="00E04E42"/>
    <w:rsid w:val="00E13819"/>
    <w:rsid w:val="00E21D2F"/>
    <w:rsid w:val="00E22911"/>
    <w:rsid w:val="00E22C70"/>
    <w:rsid w:val="00E23FD2"/>
    <w:rsid w:val="00E4327A"/>
    <w:rsid w:val="00E51BC2"/>
    <w:rsid w:val="00E63A13"/>
    <w:rsid w:val="00E6583D"/>
    <w:rsid w:val="00E66CDE"/>
    <w:rsid w:val="00E701F6"/>
    <w:rsid w:val="00E821A6"/>
    <w:rsid w:val="00EA116A"/>
    <w:rsid w:val="00EB1C64"/>
    <w:rsid w:val="00EB538B"/>
    <w:rsid w:val="00EC32EF"/>
    <w:rsid w:val="00EC4070"/>
    <w:rsid w:val="00F01AD0"/>
    <w:rsid w:val="00F06F4E"/>
    <w:rsid w:val="00F1745B"/>
    <w:rsid w:val="00F21035"/>
    <w:rsid w:val="00F21186"/>
    <w:rsid w:val="00F3075C"/>
    <w:rsid w:val="00F34007"/>
    <w:rsid w:val="00F47F84"/>
    <w:rsid w:val="00F5759A"/>
    <w:rsid w:val="00F71AA6"/>
    <w:rsid w:val="00F764D5"/>
    <w:rsid w:val="00F77DE5"/>
    <w:rsid w:val="00F82A71"/>
    <w:rsid w:val="00F9723C"/>
    <w:rsid w:val="00FA03EE"/>
    <w:rsid w:val="00FA183D"/>
    <w:rsid w:val="00FB69D3"/>
    <w:rsid w:val="00FF6AAE"/>
    <w:rsid w:val="2716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qFormat/>
    <w:uiPriority w:val="0"/>
    <w:pPr>
      <w:spacing w:after="120"/>
    </w:pPr>
    <w:rPr>
      <w:rFonts w:ascii="Times New Roman" w:hAnsi="Times New Roman" w:eastAsia="方正仿宋_GBK" w:cs="Times New Roman"/>
      <w:sz w:val="32"/>
      <w:szCs w:val="24"/>
    </w:rPr>
  </w:style>
  <w:style w:type="paragraph" w:styleId="3">
    <w:name w:val="Body Text Indent"/>
    <w:basedOn w:val="1"/>
    <w:link w:val="16"/>
    <w:autoRedefine/>
    <w:semiHidden/>
    <w:unhideWhenUsed/>
    <w:qFormat/>
    <w:uiPriority w:val="99"/>
    <w:pPr>
      <w:spacing w:after="120"/>
      <w:ind w:left="420" w:leftChars="200"/>
    </w:pPr>
  </w:style>
  <w:style w:type="paragraph" w:styleId="4">
    <w:name w:val="Date"/>
    <w:basedOn w:val="1"/>
    <w:next w:val="1"/>
    <w:link w:val="17"/>
    <w:autoRedefine/>
    <w:semiHidden/>
    <w:unhideWhenUsed/>
    <w:qFormat/>
    <w:uiPriority w:val="99"/>
    <w:pPr>
      <w:ind w:left="100" w:leftChars="2500"/>
    </w:p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styleId="11">
    <w:name w:val="page number"/>
    <w:basedOn w:val="9"/>
    <w:autoRedefine/>
    <w:qFormat/>
    <w:uiPriority w:val="0"/>
  </w:style>
  <w:style w:type="character" w:styleId="12">
    <w:name w:val="Hyperlink"/>
    <w:basedOn w:val="9"/>
    <w:autoRedefine/>
    <w:unhideWhenUsed/>
    <w:qFormat/>
    <w:uiPriority w:val="0"/>
    <w:rPr>
      <w:color w:val="0000FF"/>
      <w:u w:val="single"/>
    </w:rPr>
  </w:style>
  <w:style w:type="character" w:customStyle="1" w:styleId="13">
    <w:name w:val="页眉 Char"/>
    <w:basedOn w:val="9"/>
    <w:link w:val="6"/>
    <w:autoRedefine/>
    <w:semiHidden/>
    <w:qFormat/>
    <w:uiPriority w:val="99"/>
    <w:rPr>
      <w:sz w:val="18"/>
      <w:szCs w:val="18"/>
    </w:rPr>
  </w:style>
  <w:style w:type="character" w:customStyle="1" w:styleId="14">
    <w:name w:val="页脚 Char"/>
    <w:basedOn w:val="9"/>
    <w:link w:val="5"/>
    <w:autoRedefine/>
    <w:qFormat/>
    <w:uiPriority w:val="0"/>
    <w:rPr>
      <w:sz w:val="18"/>
      <w:szCs w:val="18"/>
    </w:rPr>
  </w:style>
  <w:style w:type="character" w:customStyle="1" w:styleId="15">
    <w:name w:val="正文文本 Char"/>
    <w:basedOn w:val="9"/>
    <w:link w:val="2"/>
    <w:autoRedefine/>
    <w:qFormat/>
    <w:uiPriority w:val="0"/>
    <w:rPr>
      <w:rFonts w:ascii="Times New Roman" w:hAnsi="Times New Roman" w:eastAsia="方正仿宋_GBK" w:cs="Times New Roman"/>
      <w:sz w:val="32"/>
      <w:szCs w:val="24"/>
    </w:rPr>
  </w:style>
  <w:style w:type="character" w:customStyle="1" w:styleId="16">
    <w:name w:val="正文文本缩进 Char"/>
    <w:basedOn w:val="9"/>
    <w:link w:val="3"/>
    <w:autoRedefine/>
    <w:semiHidden/>
    <w:qFormat/>
    <w:uiPriority w:val="99"/>
  </w:style>
  <w:style w:type="character" w:customStyle="1" w:styleId="17">
    <w:name w:val="日期 Char"/>
    <w:basedOn w:val="9"/>
    <w:link w:val="4"/>
    <w:autoRedefine/>
    <w:semiHidden/>
    <w:qFormat/>
    <w:uiPriority w:val="99"/>
  </w:style>
  <w:style w:type="character" w:customStyle="1" w:styleId="18">
    <w:name w:val="font11"/>
    <w:basedOn w:val="9"/>
    <w:autoRedefine/>
    <w:qFormat/>
    <w:uiPriority w:val="0"/>
    <w:rPr>
      <w:rFonts w:hint="eastAsia" w:ascii="宋体" w:hAnsi="宋体" w:eastAsia="宋体" w:cs="宋体"/>
      <w:color w:val="000000"/>
      <w:sz w:val="20"/>
      <w:szCs w:val="20"/>
      <w:u w:val="none"/>
    </w:rPr>
  </w:style>
  <w:style w:type="character" w:customStyle="1" w:styleId="19">
    <w:name w:val="font91"/>
    <w:basedOn w:val="9"/>
    <w:autoRedefine/>
    <w:qFormat/>
    <w:uiPriority w:val="0"/>
    <w:rPr>
      <w:rFonts w:hint="default" w:ascii="Times New Roman" w:hAnsi="Times New Roman" w:cs="Times New Roman"/>
      <w:color w:val="000000"/>
      <w:sz w:val="20"/>
      <w:szCs w:val="20"/>
      <w:u w:val="none"/>
    </w:r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NormalCharacter"/>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2"/>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65FF1-3A72-43FD-B3DC-49B656F9CB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292</Words>
  <Characters>1671</Characters>
  <Lines>13</Lines>
  <Paragraphs>3</Paragraphs>
  <TotalTime>755</TotalTime>
  <ScaleCrop>false</ScaleCrop>
  <LinksUpToDate>false</LinksUpToDate>
  <CharactersWithSpaces>1960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2020-04-29T01:31:00Z</dcterms:created>
  <dc:creator>陈金波</dc:creator>
  <cp:lastModifiedBy>...</cp:lastModifiedBy>
  <cp:lastPrinted>2021-02-08T01:32:00Z</cp:lastPrinted>
  <dcterms:modified xsi:type="dcterms:W3CDTF">2024-01-03T03:02:29Z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185BC7191F02400583137F4952306368_12</vt:lpwstr>
  </property>
</Properties>
</file>