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72" w:rsidRPr="00B46E95" w:rsidRDefault="00871654" w:rsidP="00B46E95">
      <w:pPr>
        <w:pStyle w:val="1"/>
        <w:spacing w:line="640" w:lineRule="exact"/>
        <w:rPr>
          <w:rFonts w:ascii="方正小标宋_GBK" w:eastAsia="方正小标宋_GBK" w:hAnsi="方正小标宋简体" w:cs="方正小标宋简体"/>
          <w:b w:val="0"/>
          <w:color w:val="000000"/>
          <w:w w:val="90"/>
          <w:szCs w:val="44"/>
        </w:rPr>
      </w:pPr>
      <w:r w:rsidRPr="00B46E95">
        <w:rPr>
          <w:rFonts w:ascii="方正小标宋_GBK" w:eastAsia="方正小标宋_GBK" w:hAnsi="方正小标宋简体" w:cs="方正小标宋简体" w:hint="eastAsia"/>
          <w:b w:val="0"/>
          <w:color w:val="000000"/>
          <w:w w:val="90"/>
          <w:szCs w:val="44"/>
        </w:rPr>
        <w:t>重庆市涪陵区增福镇人民政府</w:t>
      </w:r>
    </w:p>
    <w:p w:rsidR="00BE0472" w:rsidRPr="00B46E95" w:rsidRDefault="00871654" w:rsidP="00B46E95">
      <w:pPr>
        <w:pStyle w:val="1"/>
        <w:spacing w:line="640" w:lineRule="exact"/>
        <w:rPr>
          <w:rFonts w:ascii="方正小标宋_GBK" w:eastAsia="方正小标宋_GBK" w:hAnsi="方正小标宋简体" w:cs="方正小标宋简体"/>
          <w:b w:val="0"/>
          <w:color w:val="000000"/>
          <w:spacing w:val="-23"/>
          <w:w w:val="95"/>
          <w:szCs w:val="44"/>
        </w:rPr>
      </w:pPr>
      <w:r w:rsidRPr="00B46E95">
        <w:rPr>
          <w:rFonts w:ascii="方正小标宋_GBK" w:eastAsia="方正小标宋_GBK" w:hAnsi="方正小标宋简体" w:cs="方正小标宋简体" w:hint="eastAsia"/>
          <w:b w:val="0"/>
          <w:color w:val="000000"/>
          <w:w w:val="90"/>
          <w:szCs w:val="44"/>
        </w:rPr>
        <w:t>关于2025年预算执行情况和2026年预算草案的报告</w:t>
      </w:r>
    </w:p>
    <w:p w:rsidR="00BE0472" w:rsidRPr="00B46E95" w:rsidRDefault="00871654" w:rsidP="00B46E95">
      <w:pPr>
        <w:spacing w:line="640" w:lineRule="exact"/>
        <w:ind w:firstLineChars="200" w:firstLine="631"/>
        <w:rPr>
          <w:rFonts w:ascii="方正黑体_GBK" w:eastAsia="方正黑体_GBK" w:hAnsi="黑体" w:cs="黑体"/>
          <w:sz w:val="32"/>
          <w:szCs w:val="32"/>
        </w:rPr>
      </w:pPr>
      <w:r w:rsidRPr="00B46E95">
        <w:rPr>
          <w:rFonts w:ascii="方正黑体_GBK" w:eastAsia="方正黑体_GBK" w:hAnsi="黑体" w:cs="黑体" w:hint="eastAsia"/>
          <w:sz w:val="32"/>
          <w:szCs w:val="32"/>
        </w:rPr>
        <w:t>一、2025年财政预算执行情况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2025年，财政工作在镇党委政府的坚强领导和镇人大的依法监督下，始终坚持以习近平</w:t>
      </w:r>
      <w:bookmarkStart w:id="0" w:name="_GoBack"/>
      <w:bookmarkEnd w:id="0"/>
      <w:r w:rsidRPr="00B46E95">
        <w:rPr>
          <w:rFonts w:ascii="方正仿宋_GBK" w:eastAsia="方正仿宋_GBK" w:hAnsi="仿宋" w:cs="仿宋" w:hint="eastAsia"/>
          <w:sz w:val="32"/>
          <w:szCs w:val="32"/>
        </w:rPr>
        <w:t>新时代中国特色社会主义思想为指导，认真贯彻落实市、区两级决策部署，积极应对复杂严峻的宏观经济形势。紧紧围绕全镇经济社会发展目标，坚持“稳中求进、以进促稳”工作总基调，认真落实积极的财政政策，加强财政收入管理，优化财政支出结构，深化财政体制改革，全年预算执行情况总体良好，为全镇经济社会平稳健康发展提供了坚实的财力保障。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楷体_GBK" w:eastAsia="方正楷体_GBK" w:hAnsi="黑体" w:cs="黑体"/>
          <w:sz w:val="32"/>
          <w:szCs w:val="32"/>
        </w:rPr>
      </w:pPr>
      <w:r w:rsidRPr="00B46E95">
        <w:rPr>
          <w:rFonts w:ascii="方正楷体_GBK" w:eastAsia="方正楷体_GBK" w:hAnsi="黑体" w:cs="黑体" w:hint="eastAsia"/>
          <w:sz w:val="32"/>
          <w:szCs w:val="32"/>
        </w:rPr>
        <w:t>（一）一般公共预算执行情况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bCs/>
          <w:sz w:val="32"/>
          <w:szCs w:val="32"/>
        </w:rPr>
        <w:t>1.收入执行情况：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2025年，全镇完成一般公共预算收入3817万元，同比增长9%。其中：本级财政收入641万元，完成预算的142%，同比下降14%；其中税收收入607万元，同比下降12%，非税收入34万元，同比下降31%；上级补助收入3176万元，主要包括一般性转移支付、专项转移支付和乡镇激励引导性转移支付资金。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bCs/>
          <w:sz w:val="32"/>
          <w:szCs w:val="32"/>
        </w:rPr>
        <w:t>2.支出执行情况：2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025年，一般公共预算支出合计3817万元，同比增长5%，其中本级支出3498万元，上解支出319万元。具体支出情况如下：</w:t>
      </w:r>
    </w:p>
    <w:p w:rsidR="00BE0472" w:rsidRPr="00B46E95" w:rsidRDefault="00871654" w:rsidP="00B46E95">
      <w:pPr>
        <w:overflowPunct w:val="0"/>
        <w:adjustRightInd w:val="0"/>
        <w:snapToGrid w:val="0"/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</w:t>
      </w:r>
      <w:r w:rsidRPr="00B46E95">
        <w:rPr>
          <w:rFonts w:ascii="方正仿宋_GBK" w:eastAsia="方正仿宋_GBK" w:hAnsi="仿宋" w:cs="仿宋" w:hint="eastAsia"/>
          <w:b/>
          <w:bCs/>
          <w:sz w:val="32"/>
          <w:szCs w:val="32"/>
        </w:rPr>
        <w:t>一般公共服务支出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1036万元（其中党委支出117万元、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lastRenderedPageBreak/>
        <w:t>政府支出919万元），同比下降3%，主要用于保障党政机关、政府办公、纪检、群团、武装、市政设施维护、园林绿化、路灯照明、清扫保洁等正常运转支出；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</w:t>
      </w:r>
      <w:r w:rsidRPr="00B46E95">
        <w:rPr>
          <w:rFonts w:ascii="方正仿宋_GBK" w:eastAsia="方正仿宋_GBK" w:hAnsi="仿宋" w:cs="仿宋" w:hint="eastAsia"/>
          <w:b/>
          <w:bCs/>
          <w:sz w:val="32"/>
          <w:szCs w:val="32"/>
        </w:rPr>
        <w:t>文化旅游体育与传媒支出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120万元，同比增长650%，主要用于保障文化体育活动、广播事业及文化阵地建设等事业支出；</w:t>
      </w:r>
    </w:p>
    <w:p w:rsidR="00BE0472" w:rsidRPr="00B46E95" w:rsidRDefault="00871654" w:rsidP="00B46E95">
      <w:pPr>
        <w:overflowPunct w:val="0"/>
        <w:adjustRightInd w:val="0"/>
        <w:snapToGrid w:val="0"/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</w:t>
      </w:r>
      <w:r w:rsidRPr="00B46E95">
        <w:rPr>
          <w:rFonts w:ascii="方正仿宋_GBK" w:eastAsia="方正仿宋_GBK" w:hAnsi="仿宋" w:cs="仿宋" w:hint="eastAsia"/>
          <w:b/>
          <w:bCs/>
          <w:sz w:val="32"/>
          <w:szCs w:val="32"/>
        </w:rPr>
        <w:t>社会保障和就业支出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435万元，同比下降9%，主要用于民政和社区事务管理、退役安置、社会福利、残疾人、职工养老保险、职业年金、行政事业单位离退休职工、村干部社会保障缴费和就业支出等；</w:t>
      </w:r>
    </w:p>
    <w:p w:rsidR="00BE0472" w:rsidRPr="00B46E95" w:rsidRDefault="00871654" w:rsidP="00B46E95">
      <w:pPr>
        <w:overflowPunct w:val="0"/>
        <w:adjustRightInd w:val="0"/>
        <w:snapToGrid w:val="0"/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</w:t>
      </w:r>
      <w:r w:rsidRPr="00B46E95">
        <w:rPr>
          <w:rFonts w:ascii="方正仿宋_GBK" w:eastAsia="方正仿宋_GBK" w:hAnsi="仿宋" w:cs="仿宋" w:hint="eastAsia"/>
          <w:b/>
          <w:bCs/>
          <w:sz w:val="32"/>
          <w:szCs w:val="32"/>
        </w:rPr>
        <w:t>卫生健康支出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108万元，同比下降1%，主要用于行政事业单位医疗保障等支出；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</w:t>
      </w:r>
      <w:r w:rsidRPr="00B46E95">
        <w:rPr>
          <w:rFonts w:ascii="方正仿宋_GBK" w:eastAsia="方正仿宋_GBK" w:hAnsi="仿宋" w:cs="仿宋" w:hint="eastAsia"/>
          <w:b/>
          <w:bCs/>
          <w:sz w:val="32"/>
          <w:szCs w:val="32"/>
        </w:rPr>
        <w:t>节能环保支出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133万元，同比增长44%，主要用于村镇环保事业保障支出；</w:t>
      </w:r>
    </w:p>
    <w:p w:rsidR="00BE0472" w:rsidRPr="00B46E95" w:rsidRDefault="00871654" w:rsidP="00B46E95">
      <w:pPr>
        <w:overflowPunct w:val="0"/>
        <w:adjustRightInd w:val="0"/>
        <w:snapToGrid w:val="0"/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</w:t>
      </w:r>
      <w:r w:rsidRPr="00B46E95">
        <w:rPr>
          <w:rFonts w:ascii="方正仿宋_GBK" w:eastAsia="方正仿宋_GBK" w:hAnsi="仿宋" w:cs="仿宋" w:hint="eastAsia"/>
          <w:b/>
          <w:bCs/>
          <w:sz w:val="32"/>
          <w:szCs w:val="32"/>
        </w:rPr>
        <w:t>城乡社区支出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73万元，同比增长3%，主要用于综合执法保障支出；</w:t>
      </w:r>
    </w:p>
    <w:p w:rsidR="00BE0472" w:rsidRPr="00B46E95" w:rsidRDefault="00871654" w:rsidP="00B46E95">
      <w:pPr>
        <w:overflowPunct w:val="0"/>
        <w:adjustRightInd w:val="0"/>
        <w:snapToGrid w:val="0"/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</w:t>
      </w:r>
      <w:r w:rsidRPr="00B46E95">
        <w:rPr>
          <w:rFonts w:ascii="方正仿宋_GBK" w:eastAsia="方正仿宋_GBK" w:hAnsi="仿宋" w:cs="仿宋" w:hint="eastAsia"/>
          <w:b/>
          <w:bCs/>
          <w:sz w:val="32"/>
          <w:szCs w:val="32"/>
        </w:rPr>
        <w:t>农林水支出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1238万元，同比增长4%，主要用于农业农村、畜牧等部门事业人员支出、村社干部补助、本土人才、乡村振兴、农业等支出；</w:t>
      </w:r>
    </w:p>
    <w:p w:rsidR="00BE0472" w:rsidRPr="00B46E95" w:rsidRDefault="00871654" w:rsidP="00B46E95">
      <w:pPr>
        <w:pStyle w:val="a3"/>
        <w:spacing w:line="560" w:lineRule="exact"/>
        <w:ind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</w:t>
      </w:r>
      <w:r w:rsidRPr="00B46E95">
        <w:rPr>
          <w:rFonts w:ascii="方正仿宋_GBK" w:eastAsia="方正仿宋_GBK" w:hAnsi="仿宋" w:cs="仿宋" w:hint="eastAsia"/>
          <w:b/>
          <w:bCs/>
          <w:sz w:val="32"/>
          <w:szCs w:val="32"/>
        </w:rPr>
        <w:t>资源勘探工业信息等支出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258万元，同比增长135%，主要用于支持企业发展和管理支出；</w:t>
      </w:r>
    </w:p>
    <w:p w:rsidR="00BE0472" w:rsidRPr="00B46E95" w:rsidRDefault="00871654" w:rsidP="00B46E95">
      <w:pPr>
        <w:overflowPunct w:val="0"/>
        <w:adjustRightInd w:val="0"/>
        <w:snapToGrid w:val="0"/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</w:t>
      </w:r>
      <w:r w:rsidRPr="00B46E95">
        <w:rPr>
          <w:rFonts w:ascii="方正仿宋_GBK" w:eastAsia="方正仿宋_GBK" w:hAnsi="仿宋" w:cs="仿宋" w:hint="eastAsia"/>
          <w:b/>
          <w:bCs/>
          <w:sz w:val="32"/>
          <w:szCs w:val="32"/>
        </w:rPr>
        <w:t>住房保障支出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97万元，同比增长11%，主要用于住房公积金支出。</w:t>
      </w:r>
    </w:p>
    <w:p w:rsidR="00BE0472" w:rsidRPr="00B46E95" w:rsidRDefault="00871654" w:rsidP="00B46E95">
      <w:pPr>
        <w:pStyle w:val="a3"/>
        <w:spacing w:line="560" w:lineRule="exact"/>
        <w:ind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lastRenderedPageBreak/>
        <w:t>——</w:t>
      </w:r>
      <w:r w:rsidRPr="00B46E95">
        <w:rPr>
          <w:rFonts w:ascii="方正仿宋_GBK" w:eastAsia="方正仿宋_GBK" w:hAnsi="仿宋" w:cs="仿宋" w:hint="eastAsia"/>
          <w:b/>
          <w:bCs/>
          <w:sz w:val="32"/>
          <w:szCs w:val="32"/>
        </w:rPr>
        <w:t>上解支出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319万元，同比增长226%，主要用于镇街发展专项、肇事肇祸精神病人救治、特困人员供养、准备期职业年金记实资金、养老保险和职业年金基数调整补缴资金、政府采购、超收部分等上解支出。</w:t>
      </w:r>
    </w:p>
    <w:p w:rsidR="00BE0472" w:rsidRPr="00B46E95" w:rsidRDefault="00871654" w:rsidP="00B46E95">
      <w:pPr>
        <w:pStyle w:val="a3"/>
        <w:spacing w:line="560" w:lineRule="exact"/>
        <w:ind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全年基本实现了财政收支平衡。</w:t>
      </w:r>
    </w:p>
    <w:p w:rsidR="00BE0472" w:rsidRPr="00B46E95" w:rsidRDefault="00871654" w:rsidP="00B46E95">
      <w:pPr>
        <w:pStyle w:val="a3"/>
        <w:spacing w:line="560" w:lineRule="exact"/>
        <w:ind w:firstLine="631"/>
        <w:rPr>
          <w:rFonts w:ascii="方正楷体_GBK" w:eastAsia="方正楷体_GBK" w:hAnsi="黑体" w:cs="黑体"/>
          <w:sz w:val="32"/>
          <w:szCs w:val="32"/>
        </w:rPr>
      </w:pPr>
      <w:r w:rsidRPr="00B46E95">
        <w:rPr>
          <w:rFonts w:ascii="方正楷体_GBK" w:eastAsia="方正楷体_GBK" w:hAnsi="黑体" w:cs="黑体" w:hint="eastAsia"/>
          <w:sz w:val="32"/>
          <w:szCs w:val="32"/>
        </w:rPr>
        <w:t>（二）2025年主要财政工作</w:t>
      </w:r>
    </w:p>
    <w:p w:rsidR="00BE0472" w:rsidRPr="00B46E95" w:rsidRDefault="00871654" w:rsidP="00B46E95">
      <w:pPr>
        <w:pStyle w:val="a3"/>
        <w:spacing w:line="560" w:lineRule="exact"/>
        <w:ind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回顾2025年我镇财政工作，主要体现在几个方面：</w:t>
      </w:r>
    </w:p>
    <w:p w:rsidR="00BE0472" w:rsidRPr="00B46E95" w:rsidRDefault="00871654" w:rsidP="00B46E95">
      <w:pPr>
        <w:pStyle w:val="a3"/>
        <w:spacing w:line="560" w:lineRule="exact"/>
        <w:ind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1.全力以赴抓收入。面对经济下行压力，我们加强部门联动，动态监测重点税源，依法加强税收征管和非税收入管理。同时，积极向上争取以工代赈项目资金支持，有效拓宽了财力来源。</w:t>
      </w:r>
    </w:p>
    <w:p w:rsidR="00BE0472" w:rsidRPr="00B46E95" w:rsidRDefault="00871654" w:rsidP="00B46E95">
      <w:pPr>
        <w:pStyle w:val="a3"/>
        <w:spacing w:line="560" w:lineRule="exact"/>
        <w:ind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2.有</w:t>
      </w:r>
      <w:proofErr w:type="gramStart"/>
      <w:r w:rsidRPr="00B46E95">
        <w:rPr>
          <w:rFonts w:ascii="方正仿宋_GBK" w:eastAsia="方正仿宋_GBK" w:hAnsi="仿宋" w:cs="仿宋" w:hint="eastAsia"/>
          <w:sz w:val="32"/>
          <w:szCs w:val="32"/>
        </w:rPr>
        <w:t>保有压优支出</w:t>
      </w:r>
      <w:proofErr w:type="gramEnd"/>
      <w:r w:rsidRPr="00B46E95">
        <w:rPr>
          <w:rFonts w:ascii="方正仿宋_GBK" w:eastAsia="方正仿宋_GBK" w:hAnsi="仿宋" w:cs="仿宋" w:hint="eastAsia"/>
          <w:sz w:val="32"/>
          <w:szCs w:val="32"/>
        </w:rPr>
        <w:t>。牢固树立过“紧日子”思想，大力压减非刚性、非重点项目支出和一般性公用经费，重点用于保障和改善民生。</w:t>
      </w:r>
    </w:p>
    <w:p w:rsidR="00BE0472" w:rsidRPr="00B46E95" w:rsidRDefault="00871654" w:rsidP="00B46E95">
      <w:pPr>
        <w:pStyle w:val="a3"/>
        <w:spacing w:line="560" w:lineRule="exact"/>
        <w:ind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3.聚焦重点促发展。统筹整合各类财政资金，精准支持产业转型升级、科技创新、乡村振兴和重大项目建设。通过设立镇街发展专项资金等方式，激发市场主体活力，培育新的经济增长点。</w:t>
      </w:r>
    </w:p>
    <w:p w:rsidR="00BE0472" w:rsidRPr="00B46E95" w:rsidRDefault="00871654" w:rsidP="00B46E95">
      <w:pPr>
        <w:pStyle w:val="a3"/>
        <w:spacing w:line="560" w:lineRule="exact"/>
        <w:ind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4.深化改革强管理。全面深化预算管理，强化预算绩效管理，将绩效评价和方法深度融入预算编制、执行、监督全过程，对重点项目开展重点绩效评价，财政资金使用效益进一步提高。</w:t>
      </w:r>
    </w:p>
    <w:p w:rsidR="00BE0472" w:rsidRPr="00B46E95" w:rsidRDefault="00871654" w:rsidP="00B46E95">
      <w:pPr>
        <w:overflowPunct w:val="0"/>
        <w:adjustRightInd w:val="0"/>
        <w:snapToGrid w:val="0"/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在肯定成绩的同时，我们也清醒地认识到财政运行中还存在一些困难和挑战：一是财政收入持续稳定增长的基础尚不牢固，对上级转移支付的依赖度依然较高；二是刚性支出需求不断增长，收支矛盾在中长期内依然突出；三是预算绩效管理的深度和广度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lastRenderedPageBreak/>
        <w:t>有待进一步拓展，资金使用效益仍有提升空间。对此，我们将高度重视，通过深化改革、创新机制、强化管理，努力加以解决。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黑体_GBK" w:eastAsia="方正黑体_GBK" w:hAnsi="黑体" w:cs="黑体"/>
          <w:sz w:val="32"/>
          <w:szCs w:val="32"/>
        </w:rPr>
      </w:pPr>
      <w:r w:rsidRPr="00B46E95">
        <w:rPr>
          <w:rFonts w:ascii="方正黑体_GBK" w:eastAsia="方正黑体_GBK" w:hAnsi="黑体" w:cs="黑体" w:hint="eastAsia"/>
          <w:sz w:val="32"/>
          <w:szCs w:val="32"/>
        </w:rPr>
        <w:t>二、2026年财政预算情况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2026年是“十五五”规划的开局之年，编制2026年预算的指导思想是：全面贯彻</w:t>
      </w:r>
      <w:r w:rsidRPr="00B46E95">
        <w:rPr>
          <w:rFonts w:ascii="方正仿宋_GBK" w:eastAsia="方正仿宋_GBK" w:hAnsi="仿宋" w:cs="仿宋" w:hint="eastAsia"/>
          <w:color w:val="000000"/>
          <w:sz w:val="32"/>
          <w:szCs w:val="32"/>
        </w:rPr>
        <w:t>党的二十大和二十届历次全会精神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，坚持</w:t>
      </w:r>
      <w:r w:rsidRPr="00B46E95">
        <w:rPr>
          <w:rFonts w:ascii="方正仿宋_GBK" w:eastAsia="方正仿宋_GBK" w:hAnsi="仿宋" w:cs="仿宋" w:hint="eastAsia"/>
          <w:color w:val="000000"/>
          <w:sz w:val="32"/>
          <w:szCs w:val="32"/>
        </w:rPr>
        <w:t>“稳中求进、提质增效”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工作总基调，实施更加积极的财政政策，发挥存量政策和增量政策集成效应，推动经济实现质的有效提升和量的合理增长。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按照镇党委、政府的决策部署，落实宏观经济治理效能，加强财政资源统筹，保持支出强度。坚持党政机关“过紧日子”，大力优化支出结构，深化预算管理制度改革，强化预算约束和绩效管理。防范化解政府债务风险，促进经济社会持续向好，为“十五五”规划开好局、起好步。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楷体_GBK" w:eastAsia="方正楷体_GBK" w:hAnsi="黑体" w:cs="黑体"/>
          <w:sz w:val="32"/>
          <w:szCs w:val="32"/>
        </w:rPr>
      </w:pPr>
      <w:r w:rsidRPr="00B46E95">
        <w:rPr>
          <w:rFonts w:ascii="方正楷体_GBK" w:eastAsia="方正楷体_GBK" w:hAnsi="黑体" w:cs="黑体" w:hint="eastAsia"/>
          <w:sz w:val="32"/>
          <w:szCs w:val="32"/>
        </w:rPr>
        <w:t>（一）一般公共预算安排情况</w:t>
      </w:r>
    </w:p>
    <w:p w:rsidR="00BE0472" w:rsidRPr="00B46E95" w:rsidRDefault="00871654" w:rsidP="00B46E95">
      <w:pPr>
        <w:pStyle w:val="a3"/>
        <w:spacing w:line="560" w:lineRule="exact"/>
        <w:ind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1.收入预算安排：2026年全镇一般公共预算收入预计2289万元。其中：本级财政收入预算490万元（税收450万元，非税40万元），同比增长9%；上级补助收入预计1799万元。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bCs/>
          <w:sz w:val="32"/>
          <w:szCs w:val="32"/>
        </w:rPr>
        <w:t>2.支出预算安排：按照“量入为出、收支平衡”的原则，2026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t>年全镇一般公共预算支出安排2289万元。具体如下：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——一般公共服务支出802万元；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——文化旅游体育与传媒支出131万元；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——社会保障和就业支出429万元；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——卫生健康支出94万元；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lastRenderedPageBreak/>
        <w:t>——节能环保支出134万元；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——城乡社区支出84万元；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——农林水支出489万元；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——资源勘探工业信息等支出5万元；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——住房保障支出98万元；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——预备费23万元。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楷体_GBK" w:eastAsia="方正楷体_GBK" w:hAnsi="黑体" w:cs="黑体"/>
          <w:sz w:val="32"/>
          <w:szCs w:val="32"/>
        </w:rPr>
      </w:pPr>
      <w:r w:rsidRPr="00B46E95">
        <w:rPr>
          <w:rFonts w:ascii="方正楷体_GBK" w:eastAsia="方正楷体_GBK" w:hAnsi="黑体" w:cs="黑体" w:hint="eastAsia"/>
          <w:sz w:val="32"/>
          <w:szCs w:val="32"/>
        </w:rPr>
        <w:t>（二）2026年财政工作重点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为完成2026年预算任务，我们将紧紧围绕镇党委、政府决策部署，着重抓好以下几项工作：</w:t>
      </w:r>
      <w:r w:rsidRPr="00B46E95">
        <w:rPr>
          <w:rFonts w:ascii="方正仿宋_GBK" w:eastAsia="方正仿宋_GBK" w:hAnsi="仿宋" w:cs="仿宋" w:hint="eastAsia"/>
          <w:sz w:val="32"/>
          <w:szCs w:val="32"/>
        </w:rPr>
        <w:br/>
        <w:t xml:space="preserve">    1.在培育财源上展现新作为。积极优化营商环境，支持实体经济发展壮大，密切关注上级政策动向，加大争取力度，千方百计壮大可用财力。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2.在保障民生上达到新水平。始终坚持民生优先导向，持续加大民生投入。确保基本民生支出只增不减，稳步提升基本公共服务均等化水平。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3.在预算管理上实现新提升。将“过紧日子”作为长期方针，从严控制一般性支出，全面实施预算绩效管理，推进预决算信息公开，自觉接受人大和社会各界监督。</w:t>
      </w:r>
    </w:p>
    <w:p w:rsidR="00BE0472" w:rsidRPr="00B46E95" w:rsidRDefault="00871654" w:rsidP="00B46E95">
      <w:pPr>
        <w:spacing w:line="560" w:lineRule="exact"/>
        <w:ind w:firstLineChars="200" w:firstLine="631"/>
        <w:rPr>
          <w:rFonts w:ascii="方正仿宋_GBK" w:eastAsia="方正仿宋_GBK" w:hAnsi="仿宋" w:cs="仿宋"/>
          <w:sz w:val="32"/>
          <w:szCs w:val="32"/>
        </w:rPr>
      </w:pPr>
      <w:r w:rsidRPr="00B46E95">
        <w:rPr>
          <w:rFonts w:ascii="方正仿宋_GBK" w:eastAsia="方正仿宋_GBK" w:hAnsi="仿宋" w:cs="仿宋" w:hint="eastAsia"/>
          <w:sz w:val="32"/>
          <w:szCs w:val="32"/>
        </w:rPr>
        <w:t>4.在防范风险上筑牢新屏障。加强政府债务管理，坚决遏制隐性债务增量，稳妥化解存量。健全财政运行监控机制和风险</w:t>
      </w:r>
      <w:proofErr w:type="gramStart"/>
      <w:r w:rsidRPr="00B46E95">
        <w:rPr>
          <w:rFonts w:ascii="方正仿宋_GBK" w:eastAsia="方正仿宋_GBK" w:hAnsi="仿宋" w:cs="仿宋" w:hint="eastAsia"/>
          <w:sz w:val="32"/>
          <w:szCs w:val="32"/>
        </w:rPr>
        <w:t>研</w:t>
      </w:r>
      <w:proofErr w:type="gramEnd"/>
      <w:r w:rsidRPr="00B46E95">
        <w:rPr>
          <w:rFonts w:ascii="方正仿宋_GBK" w:eastAsia="方正仿宋_GBK" w:hAnsi="仿宋" w:cs="仿宋" w:hint="eastAsia"/>
          <w:sz w:val="32"/>
          <w:szCs w:val="32"/>
        </w:rPr>
        <w:t>判，牢牢守住不发生系统性风险的底线。</w:t>
      </w:r>
    </w:p>
    <w:p w:rsidR="00BE0472" w:rsidRPr="00B46E95" w:rsidRDefault="00871654" w:rsidP="00B46E95">
      <w:pPr>
        <w:pStyle w:val="a3"/>
        <w:spacing w:line="560" w:lineRule="exact"/>
        <w:ind w:firstLine="631"/>
        <w:rPr>
          <w:rFonts w:ascii="方正仿宋_GBK" w:eastAsia="方正仿宋_GBK" w:hAnsi="仿宋" w:cs="仿宋"/>
          <w:kern w:val="0"/>
          <w:sz w:val="32"/>
          <w:szCs w:val="32"/>
          <w:lang w:bidi="ar"/>
        </w:rPr>
      </w:pPr>
      <w:r w:rsidRPr="00B46E95">
        <w:rPr>
          <w:rFonts w:ascii="方正仿宋_GBK" w:eastAsia="方正仿宋_GBK" w:hAnsi="仿宋" w:cs="仿宋" w:hint="eastAsia"/>
          <w:kern w:val="0"/>
          <w:sz w:val="32"/>
          <w:szCs w:val="32"/>
          <w:lang w:bidi="ar"/>
        </w:rPr>
        <w:t>各位代表，做好2026年的财政工作，任务艰巨，责任重大。我们将在镇党委、政府的坚强领导下，在镇人大的监督支持下，</w:t>
      </w:r>
      <w:r w:rsidRPr="00B46E95">
        <w:rPr>
          <w:rFonts w:ascii="方正仿宋_GBK" w:eastAsia="方正仿宋_GBK" w:hAnsi="仿宋" w:cs="仿宋" w:hint="eastAsia"/>
          <w:kern w:val="0"/>
          <w:sz w:val="32"/>
          <w:szCs w:val="32"/>
          <w:lang w:bidi="ar"/>
        </w:rPr>
        <w:lastRenderedPageBreak/>
        <w:t>有各位代表的鼎力相助下，在广大干部的共同努力下，坚定信心、锐意进取、扎实工作，努力完成全年各项工作任务，为谱写增福镇高质量发展做出更大贡献！</w:t>
      </w:r>
    </w:p>
    <w:sectPr w:rsidR="00BE0472" w:rsidRPr="00B46E95">
      <w:footerReference w:type="default" r:id="rId8"/>
      <w:pgSz w:w="11906" w:h="16838"/>
      <w:pgMar w:top="2098" w:right="1531" w:bottom="1757" w:left="1531" w:header="1417" w:footer="1361" w:gutter="0"/>
      <w:cols w:space="720"/>
      <w:docGrid w:type="linesAndChars" w:linePitch="312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4B" w:rsidRDefault="00AA434B">
      <w:r>
        <w:separator/>
      </w:r>
    </w:p>
  </w:endnote>
  <w:endnote w:type="continuationSeparator" w:id="0">
    <w:p w:rsidR="00AA434B" w:rsidRDefault="00AA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72" w:rsidRDefault="0087165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E0472" w:rsidRDefault="00871654">
                          <w:pPr>
                            <w:pStyle w:val="a5"/>
                            <w:ind w:leftChars="100" w:left="210" w:rightChars="100" w:right="210"/>
                            <w:rPr>
                              <w:rFonts w:ascii="华文中宋" w:eastAsia="华文中宋" w:hAnsi="华文中宋" w:cs="华文中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中宋" w:eastAsia="华文中宋" w:hAnsi="华文中宋" w:cs="华文中宋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华文中宋" w:eastAsia="华文中宋" w:hAnsi="华文中宋" w:cs="华文中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华文中宋" w:eastAsia="华文中宋" w:hAnsi="华文中宋" w:cs="华文中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华文中宋" w:eastAsia="华文中宋" w:hAnsi="华文中宋" w:cs="华文中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B05AC">
                            <w:rPr>
                              <w:rFonts w:ascii="华文中宋" w:eastAsia="华文中宋" w:hAnsi="华文中宋" w:cs="华文中宋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华文中宋" w:eastAsia="华文中宋" w:hAnsi="华文中宋" w:cs="华文中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华文中宋" w:eastAsia="华文中宋" w:hAnsi="华文中宋" w:cs="华文中宋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BE0472" w:rsidRDefault="00871654">
                    <w:pPr>
                      <w:pStyle w:val="a5"/>
                      <w:ind w:leftChars="100" w:left="210" w:rightChars="100" w:right="210"/>
                      <w:rPr>
                        <w:rFonts w:ascii="华文中宋" w:eastAsia="华文中宋" w:hAnsi="华文中宋" w:cs="华文中宋"/>
                        <w:sz w:val="28"/>
                        <w:szCs w:val="28"/>
                      </w:rPr>
                    </w:pPr>
                    <w:r>
                      <w:rPr>
                        <w:rFonts w:ascii="华文中宋" w:eastAsia="华文中宋" w:hAnsi="华文中宋" w:cs="华文中宋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华文中宋" w:eastAsia="华文中宋" w:hAnsi="华文中宋" w:cs="华文中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华文中宋" w:eastAsia="华文中宋" w:hAnsi="华文中宋" w:cs="华文中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华文中宋" w:eastAsia="华文中宋" w:hAnsi="华文中宋" w:cs="华文中宋" w:hint="eastAsia"/>
                        <w:sz w:val="28"/>
                        <w:szCs w:val="28"/>
                      </w:rPr>
                      <w:fldChar w:fldCharType="separate"/>
                    </w:r>
                    <w:r w:rsidR="007B05AC">
                      <w:rPr>
                        <w:rFonts w:ascii="华文中宋" w:eastAsia="华文中宋" w:hAnsi="华文中宋" w:cs="华文中宋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华文中宋" w:eastAsia="华文中宋" w:hAnsi="华文中宋" w:cs="华文中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华文中宋" w:eastAsia="华文中宋" w:hAnsi="华文中宋" w:cs="华文中宋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4B" w:rsidRDefault="00AA434B">
      <w:r>
        <w:separator/>
      </w:r>
    </w:p>
  </w:footnote>
  <w:footnote w:type="continuationSeparator" w:id="0">
    <w:p w:rsidR="00AA434B" w:rsidRDefault="00AA4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90428"/>
    <w:rsid w:val="D7AF2F1F"/>
    <w:rsid w:val="E1EF8E7A"/>
    <w:rsid w:val="E7DFA4B8"/>
    <w:rsid w:val="E7FF6EA9"/>
    <w:rsid w:val="F9F74362"/>
    <w:rsid w:val="FACE700C"/>
    <w:rsid w:val="FBF8D378"/>
    <w:rsid w:val="FF73AF27"/>
    <w:rsid w:val="FFB55CCD"/>
    <w:rsid w:val="007B05AC"/>
    <w:rsid w:val="00871654"/>
    <w:rsid w:val="00AA434B"/>
    <w:rsid w:val="00B46E95"/>
    <w:rsid w:val="00BE0472"/>
    <w:rsid w:val="03EC6662"/>
    <w:rsid w:val="16E13CEC"/>
    <w:rsid w:val="25C127A7"/>
    <w:rsid w:val="28E1670B"/>
    <w:rsid w:val="2AFA5C82"/>
    <w:rsid w:val="2F012EAA"/>
    <w:rsid w:val="30490428"/>
    <w:rsid w:val="3B7342A9"/>
    <w:rsid w:val="41912A44"/>
    <w:rsid w:val="46FC2364"/>
    <w:rsid w:val="4A802994"/>
    <w:rsid w:val="50CF233B"/>
    <w:rsid w:val="57116F8C"/>
    <w:rsid w:val="5F85AD3D"/>
    <w:rsid w:val="5F8F53C5"/>
    <w:rsid w:val="60470EFE"/>
    <w:rsid w:val="65DB5573"/>
    <w:rsid w:val="678C0D64"/>
    <w:rsid w:val="6BFF94C3"/>
    <w:rsid w:val="6DFD6067"/>
    <w:rsid w:val="6EBFB134"/>
    <w:rsid w:val="73FFB373"/>
    <w:rsid w:val="765E314E"/>
    <w:rsid w:val="77753643"/>
    <w:rsid w:val="79E40730"/>
    <w:rsid w:val="79F64D91"/>
    <w:rsid w:val="7E8820A4"/>
    <w:rsid w:val="7FDF9DC2"/>
    <w:rsid w:val="B5278E12"/>
    <w:rsid w:val="BF97078D"/>
    <w:rsid w:val="BFBBC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ascii="Calibri" w:eastAsia="方正小标宋简体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 Indent"/>
    <w:basedOn w:val="a"/>
    <w:next w:val="a"/>
    <w:uiPriority w:val="99"/>
    <w:qFormat/>
    <w:pPr>
      <w:tabs>
        <w:tab w:val="left" w:pos="2736"/>
      </w:tabs>
      <w:ind w:firstLineChars="200" w:firstLine="676"/>
    </w:pPr>
    <w:rPr>
      <w:rFonts w:eastAsia="仿宋_GB2312"/>
      <w:kern w:val="0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2">
    <w:name w:val="Body Text First Indent 2"/>
    <w:basedOn w:val="a4"/>
    <w:qFormat/>
    <w:pPr>
      <w:spacing w:after="120"/>
      <w:ind w:leftChars="200" w:left="420" w:firstLine="420"/>
    </w:pPr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ascii="Calibri" w:eastAsia="方正小标宋简体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 Indent"/>
    <w:basedOn w:val="a"/>
    <w:next w:val="a"/>
    <w:uiPriority w:val="99"/>
    <w:qFormat/>
    <w:pPr>
      <w:tabs>
        <w:tab w:val="left" w:pos="2736"/>
      </w:tabs>
      <w:ind w:firstLineChars="200" w:firstLine="676"/>
    </w:pPr>
    <w:rPr>
      <w:rFonts w:eastAsia="仿宋_GB2312"/>
      <w:kern w:val="0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2">
    <w:name w:val="Body Text First Indent 2"/>
    <w:basedOn w:val="a4"/>
    <w:qFormat/>
    <w:pPr>
      <w:spacing w:after="120"/>
      <w:ind w:leftChars="200" w:left="420" w:firstLine="42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2284</Characters>
  <Application>Microsoft Office Word</Application>
  <DocSecurity>0</DocSecurity>
  <Lines>19</Lines>
  <Paragraphs>5</Paragraphs>
  <ScaleCrop>false</ScaleCrop>
  <Company>微软中国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况波</dc:creator>
  <cp:lastModifiedBy>微软用户</cp:lastModifiedBy>
  <cp:revision>5</cp:revision>
  <dcterms:created xsi:type="dcterms:W3CDTF">2026-01-14T01:44:00Z</dcterms:created>
  <dcterms:modified xsi:type="dcterms:W3CDTF">2026-03-06T02:52:00Z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A8C78FDAD0F5F53650FB6569188830EA_43</vt:lpwstr>
  </property>
  <property fmtid="{D5CDD505-2E9C-101B-9397-08002B2CF9AE}" pid="4" name="KSOTemplateDocerSaveRecord">
    <vt:lpwstr>eyJoZGlkIjoiNjI5MzgxMWI1NTQ3NjdlY2U5M2FhODc4ZTc5MTAzOWUiLCJ1c2VySWQiOiI0MzI4OTIzNjEifQ==</vt:lpwstr>
  </property>
</Properties>
</file>