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97" w:rsidRPr="00367549" w:rsidRDefault="00367549" w:rsidP="00367549">
      <w:pPr>
        <w:widowControl/>
        <w:spacing w:line="600" w:lineRule="exact"/>
        <w:jc w:val="center"/>
        <w:rPr>
          <w:rFonts w:ascii="方正小标宋_GBK" w:eastAsia="方正小标宋_GBK" w:hAnsiTheme="minorEastAsia"/>
          <w:sz w:val="44"/>
          <w:szCs w:val="44"/>
        </w:rPr>
      </w:pPr>
      <w:r w:rsidRPr="00367549">
        <w:rPr>
          <w:rFonts w:ascii="方正小标宋_GBK" w:eastAsia="方正小标宋_GBK" w:hAnsiTheme="minorEastAsia" w:hint="eastAsia"/>
          <w:sz w:val="44"/>
          <w:szCs w:val="44"/>
        </w:rPr>
        <w:t>重庆市涪陵区珍溪镇农业服务中心</w:t>
      </w:r>
    </w:p>
    <w:p w:rsidR="00D72E97" w:rsidRDefault="00367549" w:rsidP="00367549">
      <w:pPr>
        <w:widowControl/>
        <w:spacing w:line="600" w:lineRule="exact"/>
        <w:jc w:val="center"/>
        <w:rPr>
          <w:rFonts w:asciiTheme="minorEastAsia" w:hAnsiTheme="minorEastAsia"/>
          <w:sz w:val="32"/>
          <w:szCs w:val="32"/>
        </w:rPr>
      </w:pPr>
      <w:r w:rsidRPr="00367549">
        <w:rPr>
          <w:rFonts w:ascii="方正小标宋_GBK" w:eastAsia="方正小标宋_GBK" w:hAnsiTheme="minorEastAsia" w:hint="eastAsia"/>
          <w:sz w:val="44"/>
          <w:szCs w:val="44"/>
        </w:rPr>
        <w:t>2024年部门预算情况说明</w:t>
      </w:r>
    </w:p>
    <w:p w:rsidR="00367549" w:rsidRDefault="00367549">
      <w:pPr>
        <w:widowControl/>
        <w:jc w:val="left"/>
        <w:rPr>
          <w:rFonts w:asciiTheme="minorEastAsia" w:hAnsiTheme="minorEastAsia"/>
          <w:sz w:val="24"/>
          <w:szCs w:val="24"/>
        </w:rPr>
      </w:pPr>
    </w:p>
    <w:p w:rsidR="00D72E97" w:rsidRPr="00367549" w:rsidRDefault="00367549" w:rsidP="00367549">
      <w:pPr>
        <w:widowControl/>
        <w:spacing w:line="560" w:lineRule="exact"/>
        <w:ind w:firstLineChars="200" w:firstLine="640"/>
        <w:rPr>
          <w:rFonts w:ascii="方正黑体_GBK" w:eastAsia="方正黑体_GBK" w:hAnsiTheme="minorEastAsia"/>
          <w:sz w:val="32"/>
          <w:szCs w:val="32"/>
        </w:rPr>
      </w:pPr>
      <w:r w:rsidRPr="00367549">
        <w:rPr>
          <w:rFonts w:ascii="方正黑体_GBK" w:eastAsia="方正黑体_GBK" w:hAnsiTheme="minorEastAsia" w:hint="eastAsia"/>
          <w:sz w:val="32"/>
          <w:szCs w:val="32"/>
        </w:rPr>
        <w:t>一、部门基本情况</w:t>
      </w:r>
    </w:p>
    <w:p w:rsidR="00D72E97" w:rsidRPr="00367549" w:rsidRDefault="00367549" w:rsidP="00367549">
      <w:pPr>
        <w:widowControl/>
        <w:spacing w:line="560" w:lineRule="exact"/>
        <w:ind w:firstLineChars="200" w:firstLine="640"/>
        <w:rPr>
          <w:rFonts w:ascii="方正楷体_GBK" w:eastAsia="方正楷体_GBK" w:hAnsiTheme="minorEastAsia"/>
          <w:sz w:val="32"/>
          <w:szCs w:val="32"/>
        </w:rPr>
      </w:pPr>
      <w:r w:rsidRPr="00367549">
        <w:rPr>
          <w:rFonts w:ascii="方正楷体_GBK" w:eastAsia="方正楷体_GBK" w:hAnsiTheme="minorEastAsia" w:hint="eastAsia"/>
          <w:sz w:val="32"/>
          <w:szCs w:val="32"/>
        </w:rPr>
        <w:t>（一）职能职责</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为农业（含林业、畜牧）、水利等提供技术服务，促进农业发展，承担农业（含林业、畜牧）、水利以及扶贫等相关服务工作；完成镇党委、政府交办的其他任务。</w:t>
      </w:r>
    </w:p>
    <w:p w:rsidR="00D72E97" w:rsidRPr="00367549" w:rsidRDefault="00367549" w:rsidP="00367549">
      <w:pPr>
        <w:widowControl/>
        <w:spacing w:line="560" w:lineRule="exact"/>
        <w:ind w:firstLineChars="200" w:firstLine="640"/>
        <w:rPr>
          <w:rFonts w:ascii="方正楷体_GBK" w:eastAsia="方正楷体_GBK" w:hAnsiTheme="minorEastAsia"/>
          <w:sz w:val="32"/>
          <w:szCs w:val="32"/>
        </w:rPr>
      </w:pPr>
      <w:r w:rsidRPr="00367549">
        <w:rPr>
          <w:rFonts w:ascii="方正楷体_GBK" w:eastAsia="方正楷体_GBK" w:hAnsiTheme="minorEastAsia" w:hint="eastAsia"/>
          <w:sz w:val="32"/>
          <w:szCs w:val="32"/>
        </w:rPr>
        <w:t>（二）部门构成</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本单位实有在编人数50人,其中事业管理人员21人，事业专业技术人员26人，事业工人6人。</w:t>
      </w:r>
    </w:p>
    <w:p w:rsidR="00D72E97" w:rsidRPr="00367549" w:rsidRDefault="00367549" w:rsidP="00367549">
      <w:pPr>
        <w:widowControl/>
        <w:spacing w:line="560" w:lineRule="exact"/>
        <w:ind w:firstLineChars="200" w:firstLine="640"/>
        <w:rPr>
          <w:rFonts w:ascii="方正黑体_GBK" w:eastAsia="方正黑体_GBK" w:hAnsiTheme="minorEastAsia"/>
          <w:sz w:val="32"/>
          <w:szCs w:val="32"/>
        </w:rPr>
      </w:pPr>
      <w:r w:rsidRPr="00367549">
        <w:rPr>
          <w:rFonts w:ascii="方正黑体_GBK" w:eastAsia="方正黑体_GBK" w:hAnsiTheme="minorEastAsia" w:hint="eastAsia"/>
          <w:sz w:val="32"/>
          <w:szCs w:val="32"/>
        </w:rPr>
        <w:t>二、部门收支总体情况</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（一）收入预算：2024年年初预算数 1264.97万元，其中：一般公共预算拨款 1264.97万元。收入较去年减少96.91万元，主要是2023年人员退休，经费拨款减少 。</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（二）支出预算：2024年年初预算数1264.97万元，其中：一般公共服务支出928.24万元，社会保障和就业支出211.9 万元，卫生健康支出 65.77万元，住房保障支出59.06 万元。支出较去年减少96.91万元，主要是2023年人员退休，基本支出减少。</w:t>
      </w:r>
    </w:p>
    <w:p w:rsidR="00D77A75" w:rsidRDefault="00D77A75" w:rsidP="00D77A75">
      <w:pPr>
        <w:spacing w:line="560" w:lineRule="exact"/>
        <w:ind w:firstLineChars="200" w:firstLine="640"/>
        <w:rPr>
          <w:rFonts w:ascii="方正黑体_GBK" w:eastAsia="方正黑体_GBK"/>
          <w:sz w:val="32"/>
          <w:szCs w:val="32"/>
        </w:rPr>
      </w:pPr>
      <w:r>
        <w:rPr>
          <w:rFonts w:ascii="方正黑体_GBK" w:eastAsia="方正黑体_GBK" w:hint="eastAsia"/>
          <w:b/>
          <w:bCs/>
          <w:sz w:val="32"/>
          <w:szCs w:val="32"/>
        </w:rPr>
        <w:t>三、部门预算情况说明</w:t>
      </w:r>
    </w:p>
    <w:p w:rsidR="00D77A75" w:rsidRDefault="00D77A75" w:rsidP="00D77A75">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2024年一般公共预算财政拨款收入</w:t>
      </w:r>
      <w:r w:rsidR="007F7D9B" w:rsidRPr="00367549">
        <w:rPr>
          <w:rFonts w:ascii="方正仿宋_GBK" w:eastAsia="方正仿宋_GBK" w:hAnsiTheme="minorEastAsia" w:hint="eastAsia"/>
          <w:sz w:val="32"/>
          <w:szCs w:val="32"/>
        </w:rPr>
        <w:t>1264.97</w:t>
      </w:r>
      <w:r>
        <w:rPr>
          <w:rFonts w:ascii="方正仿宋_GBK" w:eastAsia="方正仿宋_GBK" w:hint="eastAsia"/>
          <w:sz w:val="32"/>
          <w:szCs w:val="32"/>
        </w:rPr>
        <w:t xml:space="preserve">万元，一般公共预算财政拨款支出 </w:t>
      </w:r>
      <w:r w:rsidR="007F7D9B" w:rsidRPr="00367549">
        <w:rPr>
          <w:rFonts w:ascii="方正仿宋_GBK" w:eastAsia="方正仿宋_GBK" w:hAnsiTheme="minorEastAsia" w:hint="eastAsia"/>
          <w:sz w:val="32"/>
          <w:szCs w:val="32"/>
        </w:rPr>
        <w:t>1264.97</w:t>
      </w:r>
      <w:r>
        <w:rPr>
          <w:rFonts w:ascii="方正仿宋_GBK" w:eastAsia="方正仿宋_GBK" w:hint="eastAsia"/>
          <w:sz w:val="32"/>
          <w:szCs w:val="32"/>
        </w:rPr>
        <w:t>万元，较去年</w:t>
      </w:r>
      <w:r w:rsidR="007F7D9B" w:rsidRPr="00367549">
        <w:rPr>
          <w:rFonts w:ascii="方正仿宋_GBK" w:eastAsia="方正仿宋_GBK" w:hAnsiTheme="minorEastAsia" w:hint="eastAsia"/>
          <w:sz w:val="32"/>
          <w:szCs w:val="32"/>
        </w:rPr>
        <w:t>减少96.91</w:t>
      </w:r>
      <w:r>
        <w:rPr>
          <w:rFonts w:ascii="方正仿宋_GBK" w:eastAsia="方正仿宋_GBK" w:hint="eastAsia"/>
          <w:sz w:val="32"/>
          <w:szCs w:val="32"/>
        </w:rPr>
        <w:t>万元。其中：基本支出</w:t>
      </w:r>
      <w:r w:rsidR="007F7D9B" w:rsidRPr="00367549">
        <w:rPr>
          <w:rFonts w:ascii="方正仿宋_GBK" w:eastAsia="方正仿宋_GBK" w:hAnsiTheme="minorEastAsia" w:hint="eastAsia"/>
          <w:sz w:val="32"/>
          <w:szCs w:val="32"/>
        </w:rPr>
        <w:t>1264.97</w:t>
      </w:r>
      <w:r>
        <w:rPr>
          <w:rFonts w:ascii="方正仿宋_GBK" w:eastAsia="方正仿宋_GBK" w:hint="eastAsia"/>
          <w:sz w:val="32"/>
          <w:szCs w:val="32"/>
        </w:rPr>
        <w:t>万元，比上年</w:t>
      </w:r>
      <w:r w:rsidR="007F7D9B" w:rsidRPr="00367549">
        <w:rPr>
          <w:rFonts w:ascii="方正仿宋_GBK" w:eastAsia="方正仿宋_GBK" w:hAnsiTheme="minorEastAsia" w:hint="eastAsia"/>
          <w:sz w:val="32"/>
          <w:szCs w:val="32"/>
        </w:rPr>
        <w:t>减少96.91</w:t>
      </w:r>
      <w:r>
        <w:rPr>
          <w:rFonts w:ascii="方正仿宋_GBK" w:eastAsia="方正仿宋_GBK" w:hint="eastAsia"/>
          <w:sz w:val="32"/>
          <w:szCs w:val="32"/>
        </w:rPr>
        <w:t>万元，</w:t>
      </w:r>
      <w:r w:rsidR="007F7D9B">
        <w:rPr>
          <w:rFonts w:ascii="方正仿宋_GBK" w:eastAsia="方正仿宋_GBK" w:hint="eastAsia"/>
          <w:sz w:val="32"/>
          <w:szCs w:val="32"/>
        </w:rPr>
        <w:t>因人员退休</w:t>
      </w:r>
      <w:r>
        <w:rPr>
          <w:rFonts w:ascii="方正仿宋_GBK" w:eastAsia="方正仿宋_GBK" w:hint="eastAsia"/>
          <w:sz w:val="32"/>
          <w:szCs w:val="32"/>
        </w:rPr>
        <w:t>主要用于保障在职人员社保、公积金缴纳等</w:t>
      </w:r>
      <w:r w:rsidR="00F500D2">
        <w:rPr>
          <w:rFonts w:ascii="方正仿宋_GBK" w:eastAsia="方正仿宋_GBK" w:hint="eastAsia"/>
          <w:sz w:val="32"/>
          <w:szCs w:val="32"/>
        </w:rPr>
        <w:lastRenderedPageBreak/>
        <w:t>经费</w:t>
      </w:r>
      <w:r w:rsidR="007F7D9B">
        <w:rPr>
          <w:rFonts w:ascii="方正仿宋_GBK" w:eastAsia="方正仿宋_GBK" w:hint="eastAsia"/>
          <w:sz w:val="32"/>
          <w:szCs w:val="32"/>
        </w:rPr>
        <w:t>减少</w:t>
      </w:r>
      <w:r>
        <w:rPr>
          <w:rFonts w:ascii="方正仿宋_GBK" w:eastAsia="方正仿宋_GBK" w:hint="eastAsia"/>
          <w:sz w:val="32"/>
          <w:szCs w:val="32"/>
        </w:rPr>
        <w:t>。本部门2024年</w:t>
      </w:r>
      <w:r w:rsidR="007F7D9B">
        <w:rPr>
          <w:rFonts w:ascii="方正仿宋_GBK" w:eastAsia="方正仿宋_GBK" w:hint="eastAsia"/>
          <w:sz w:val="32"/>
          <w:szCs w:val="32"/>
        </w:rPr>
        <w:t>无</w:t>
      </w:r>
      <w:r>
        <w:rPr>
          <w:rFonts w:ascii="方正仿宋_GBK" w:eastAsia="方正仿宋_GBK" w:hint="eastAsia"/>
          <w:sz w:val="32"/>
          <w:szCs w:val="32"/>
        </w:rPr>
        <w:t>政府性基金预算安排。</w:t>
      </w:r>
    </w:p>
    <w:p w:rsidR="00D72E97" w:rsidRPr="00367549" w:rsidRDefault="00D77A75" w:rsidP="00367549">
      <w:pPr>
        <w:widowControl/>
        <w:spacing w:line="560" w:lineRule="exact"/>
        <w:ind w:firstLineChars="200" w:firstLine="640"/>
        <w:rPr>
          <w:rFonts w:ascii="方正黑体_GBK" w:eastAsia="方正黑体_GBK" w:hAnsiTheme="minorEastAsia"/>
          <w:sz w:val="32"/>
          <w:szCs w:val="32"/>
        </w:rPr>
      </w:pPr>
      <w:r>
        <w:rPr>
          <w:rFonts w:ascii="方正黑体_GBK" w:eastAsia="方正黑体_GBK" w:hAnsiTheme="minorEastAsia" w:hint="eastAsia"/>
          <w:sz w:val="32"/>
          <w:szCs w:val="32"/>
        </w:rPr>
        <w:t>四</w:t>
      </w:r>
      <w:r w:rsidR="00367549" w:rsidRPr="00367549">
        <w:rPr>
          <w:rFonts w:ascii="方正黑体_GBK" w:eastAsia="方正黑体_GBK" w:hAnsiTheme="minorEastAsia" w:hint="eastAsia"/>
          <w:sz w:val="32"/>
          <w:szCs w:val="32"/>
        </w:rPr>
        <w:t>、“三公”经费情况说明</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2024年“三公”经费预算2万元，比上年增加 2 万元，主要原因是去年由政府统一预算。其中：公务用车运行维护费比上年增加2万元。</w:t>
      </w:r>
    </w:p>
    <w:p w:rsidR="00D72E97" w:rsidRPr="00367549" w:rsidRDefault="00D77A75" w:rsidP="00367549">
      <w:pPr>
        <w:widowControl/>
        <w:spacing w:line="560" w:lineRule="exact"/>
        <w:ind w:firstLineChars="200" w:firstLine="640"/>
        <w:rPr>
          <w:rFonts w:ascii="方正黑体_GBK" w:eastAsia="方正黑体_GBK" w:hAnsiTheme="minorEastAsia"/>
          <w:sz w:val="32"/>
          <w:szCs w:val="32"/>
        </w:rPr>
      </w:pPr>
      <w:r>
        <w:rPr>
          <w:rFonts w:ascii="方正黑体_GBK" w:eastAsia="方正黑体_GBK" w:hAnsiTheme="minorEastAsia" w:hint="eastAsia"/>
          <w:sz w:val="32"/>
          <w:szCs w:val="32"/>
        </w:rPr>
        <w:t>五</w:t>
      </w:r>
      <w:r w:rsidR="00367549" w:rsidRPr="00367549">
        <w:rPr>
          <w:rFonts w:ascii="方正黑体_GBK" w:eastAsia="方正黑体_GBK" w:hAnsiTheme="minorEastAsia" w:hint="eastAsia"/>
          <w:sz w:val="32"/>
          <w:szCs w:val="32"/>
        </w:rPr>
        <w:t>、其他重要事项的情况说明</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无其他重要事项说明。</w:t>
      </w:r>
    </w:p>
    <w:p w:rsidR="00D72E97" w:rsidRPr="00367549" w:rsidRDefault="00D77A75" w:rsidP="00367549">
      <w:pPr>
        <w:widowControl/>
        <w:spacing w:line="560" w:lineRule="exact"/>
        <w:ind w:firstLineChars="200" w:firstLine="640"/>
        <w:rPr>
          <w:rFonts w:ascii="方正黑体_GBK" w:eastAsia="方正黑体_GBK" w:hAnsiTheme="minorEastAsia"/>
          <w:sz w:val="32"/>
          <w:szCs w:val="32"/>
        </w:rPr>
      </w:pPr>
      <w:r>
        <w:rPr>
          <w:rFonts w:ascii="方正黑体_GBK" w:eastAsia="方正黑体_GBK" w:hAnsiTheme="minorEastAsia" w:hint="eastAsia"/>
          <w:sz w:val="32"/>
          <w:szCs w:val="32"/>
        </w:rPr>
        <w:t>六</w:t>
      </w:r>
      <w:r w:rsidR="00367549" w:rsidRPr="00367549">
        <w:rPr>
          <w:rFonts w:ascii="方正黑体_GBK" w:eastAsia="方正黑体_GBK" w:hAnsiTheme="minorEastAsia" w:hint="eastAsia"/>
          <w:sz w:val="32"/>
          <w:szCs w:val="32"/>
        </w:rPr>
        <w:t>、专业性名词解释</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（一）财政拨款收入：指本年度从本级财政部门取得的财政拨款，包括一般公共预算财政拨款和政府性基金预算财政拨款。</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（二）财政专户管理资金收入：指缴入财政专户、实行专项管理的高中以上学费、住宿费、高校委托培养费、函大、电大、夜大及短训班培训费等教育收费。</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（三）事业收入：指事业单位开展专业业务活动及其辅助活动取得的收入，不包括教育收费</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（四）上级补助收入：指从主管部门或上级单位取得的财政拨款以外的其他补助收入。</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（五）附属单位上缴收入：指本单位所属下级单位上缴给本单位的全部收入（包括下级事业单位上缴的事业收入、其他收入和下级企业单位上缴的利润等）。</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（六）事业单位经营收入：指事业单位在专业业务活动及其辅助活动之外开展非独立核算经营活动取得的收入。</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lastRenderedPageBreak/>
        <w:t>（七）其他收入：指债务收入（不含政府债券、政府向外国政府贷款和国际组织贷款）、投资收益等收入。</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（八）基本支出：指为保障机构正常运转、完成日常工作任务而发生的人员经费和公用经费。</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（九）项目支出：指在基本支出之外为完成特定行政任务和事业发展目标所发生的支出。</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部门预算公开联系人：何肖文  联系方式：1379468227</w:t>
      </w:r>
    </w:p>
    <w:p w:rsidR="00D72E97" w:rsidRPr="00367549" w:rsidRDefault="00D72E97" w:rsidP="00367549">
      <w:pPr>
        <w:widowControl/>
        <w:spacing w:line="560" w:lineRule="exact"/>
        <w:ind w:firstLineChars="200" w:firstLine="640"/>
        <w:rPr>
          <w:rFonts w:ascii="方正仿宋_GBK" w:eastAsia="方正仿宋_GBK" w:hAnsiTheme="minorEastAsia"/>
          <w:sz w:val="32"/>
          <w:szCs w:val="32"/>
        </w:rPr>
      </w:pPr>
    </w:p>
    <w:p w:rsidR="00D72E97" w:rsidRPr="00367549" w:rsidRDefault="00367549" w:rsidP="00367549">
      <w:pPr>
        <w:widowControl/>
        <w:spacing w:line="560" w:lineRule="exact"/>
        <w:ind w:firstLineChars="200" w:firstLine="640"/>
        <w:rPr>
          <w:rFonts w:ascii="方正仿宋_GBK" w:eastAsia="方正仿宋_GBK" w:hAnsiTheme="minorEastAsia"/>
          <w:sz w:val="32"/>
          <w:szCs w:val="32"/>
        </w:rPr>
      </w:pPr>
      <w:r w:rsidRPr="00367549">
        <w:rPr>
          <w:rFonts w:ascii="方正仿宋_GBK" w:eastAsia="方正仿宋_GBK" w:hAnsiTheme="minorEastAsia" w:hint="eastAsia"/>
          <w:sz w:val="32"/>
          <w:szCs w:val="32"/>
        </w:rPr>
        <w:t>附件：重庆市涪陵区珍溪镇珍溪镇农业服务中心2024年部门预算附表</w:t>
      </w:r>
    </w:p>
    <w:p w:rsidR="00D72E97" w:rsidRDefault="00D72E97">
      <w:pPr>
        <w:widowControl/>
        <w:jc w:val="left"/>
        <w:rPr>
          <w:rFonts w:asciiTheme="minorEastAsia" w:hAnsiTheme="minorEastAsia"/>
          <w:sz w:val="24"/>
          <w:szCs w:val="24"/>
        </w:rPr>
      </w:pPr>
    </w:p>
    <w:p w:rsidR="00D72E97" w:rsidRDefault="00D72E97">
      <w:pPr>
        <w:widowControl/>
        <w:jc w:val="left"/>
        <w:rPr>
          <w:rFonts w:asciiTheme="minorEastAsia" w:hAnsiTheme="minorEastAsia"/>
          <w:sz w:val="24"/>
          <w:szCs w:val="24"/>
        </w:rPr>
      </w:pPr>
    </w:p>
    <w:p w:rsidR="00D72E97" w:rsidRDefault="00D72E97">
      <w:pPr>
        <w:widowControl/>
        <w:jc w:val="left"/>
        <w:rPr>
          <w:rFonts w:asciiTheme="minorEastAsia" w:hAnsiTheme="minorEastAsia"/>
          <w:sz w:val="24"/>
          <w:szCs w:val="24"/>
        </w:rPr>
        <w:sectPr w:rsidR="00D72E97">
          <w:pgSz w:w="11906" w:h="16838"/>
          <w:pgMar w:top="1440" w:right="1800" w:bottom="1440" w:left="1800" w:header="851" w:footer="992" w:gutter="0"/>
          <w:cols w:space="425"/>
          <w:docGrid w:type="lines" w:linePitch="312"/>
        </w:sectPr>
      </w:pPr>
    </w:p>
    <w:p w:rsidR="00D72E97" w:rsidRDefault="00D72E97">
      <w:pPr>
        <w:rPr>
          <w:rFonts w:asciiTheme="minorEastAsia" w:hAnsiTheme="minorEastAsia"/>
          <w:sz w:val="32"/>
          <w:szCs w:val="32"/>
        </w:rPr>
      </w:pPr>
    </w:p>
    <w:sectPr w:rsidR="00D72E97" w:rsidSect="00D72E97">
      <w:pgSz w:w="11906" w:h="16838"/>
      <w:pgMar w:top="1440"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0F2" w:rsidRDefault="009630F2" w:rsidP="00D77A75">
      <w:r>
        <w:separator/>
      </w:r>
    </w:p>
  </w:endnote>
  <w:endnote w:type="continuationSeparator" w:id="1">
    <w:p w:rsidR="009630F2" w:rsidRDefault="009630F2" w:rsidP="00D77A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0F2" w:rsidRDefault="009630F2" w:rsidP="00D77A75">
      <w:r>
        <w:separator/>
      </w:r>
    </w:p>
  </w:footnote>
  <w:footnote w:type="continuationSeparator" w:id="1">
    <w:p w:rsidR="009630F2" w:rsidRDefault="009630F2" w:rsidP="00D77A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RlNDc4MmI2YWJhMDIzNzliMWM0ZjJhNGUzMjU3NDUifQ=="/>
  </w:docVars>
  <w:rsids>
    <w:rsidRoot w:val="008351CF"/>
    <w:rsid w:val="00000C63"/>
    <w:rsid w:val="000611AA"/>
    <w:rsid w:val="0007405F"/>
    <w:rsid w:val="000C3464"/>
    <w:rsid w:val="0012473F"/>
    <w:rsid w:val="001440FA"/>
    <w:rsid w:val="00184DFC"/>
    <w:rsid w:val="001A1DCC"/>
    <w:rsid w:val="0023089F"/>
    <w:rsid w:val="002C497C"/>
    <w:rsid w:val="003429F2"/>
    <w:rsid w:val="00367549"/>
    <w:rsid w:val="003C114F"/>
    <w:rsid w:val="00443790"/>
    <w:rsid w:val="004C27C8"/>
    <w:rsid w:val="00524A73"/>
    <w:rsid w:val="005D11A2"/>
    <w:rsid w:val="00760D1E"/>
    <w:rsid w:val="007F0687"/>
    <w:rsid w:val="007F7D9B"/>
    <w:rsid w:val="008351CF"/>
    <w:rsid w:val="0086774D"/>
    <w:rsid w:val="008F7D6B"/>
    <w:rsid w:val="00904E46"/>
    <w:rsid w:val="009630F2"/>
    <w:rsid w:val="0097616A"/>
    <w:rsid w:val="00AE3FB6"/>
    <w:rsid w:val="00AE40F1"/>
    <w:rsid w:val="00BB7980"/>
    <w:rsid w:val="00D309BD"/>
    <w:rsid w:val="00D46849"/>
    <w:rsid w:val="00D5385E"/>
    <w:rsid w:val="00D72E97"/>
    <w:rsid w:val="00D74FE2"/>
    <w:rsid w:val="00D77A75"/>
    <w:rsid w:val="00E658EE"/>
    <w:rsid w:val="00EB57DE"/>
    <w:rsid w:val="00EC407A"/>
    <w:rsid w:val="00F500D2"/>
    <w:rsid w:val="00FD7EAB"/>
    <w:rsid w:val="210755B4"/>
    <w:rsid w:val="4F2B7F6A"/>
    <w:rsid w:val="4FA975AD"/>
    <w:rsid w:val="575724C8"/>
    <w:rsid w:val="6D7515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E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72E9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72E97"/>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rsid w:val="00D72E9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autoRedefine/>
    <w:uiPriority w:val="22"/>
    <w:qFormat/>
    <w:rsid w:val="00D72E97"/>
    <w:rPr>
      <w:b/>
      <w:bCs/>
    </w:rPr>
  </w:style>
  <w:style w:type="character" w:customStyle="1" w:styleId="Char0">
    <w:name w:val="页眉 Char"/>
    <w:basedOn w:val="a0"/>
    <w:link w:val="a4"/>
    <w:autoRedefine/>
    <w:uiPriority w:val="99"/>
    <w:semiHidden/>
    <w:qFormat/>
    <w:rsid w:val="00D72E97"/>
    <w:rPr>
      <w:sz w:val="18"/>
      <w:szCs w:val="18"/>
    </w:rPr>
  </w:style>
  <w:style w:type="character" w:customStyle="1" w:styleId="Char">
    <w:name w:val="页脚 Char"/>
    <w:basedOn w:val="a0"/>
    <w:link w:val="a3"/>
    <w:uiPriority w:val="99"/>
    <w:semiHidden/>
    <w:qFormat/>
    <w:rsid w:val="00D72E97"/>
    <w:rPr>
      <w:sz w:val="18"/>
      <w:szCs w:val="18"/>
    </w:rPr>
  </w:style>
</w:styles>
</file>

<file path=word/webSettings.xml><?xml version="1.0" encoding="utf-8"?>
<w:webSettings xmlns:r="http://schemas.openxmlformats.org/officeDocument/2006/relationships" xmlns:w="http://schemas.openxmlformats.org/wordprocessingml/2006/main">
  <w:divs>
    <w:div w:id="1181120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211</Words>
  <Characters>1204</Characters>
  <Application>Microsoft Office Word</Application>
  <DocSecurity>0</DocSecurity>
  <Lines>10</Lines>
  <Paragraphs>2</Paragraphs>
  <ScaleCrop>false</ScaleCrop>
  <Company>微软中国</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18</cp:revision>
  <dcterms:created xsi:type="dcterms:W3CDTF">2023-02-08T07:37:00Z</dcterms:created>
  <dcterms:modified xsi:type="dcterms:W3CDTF">2024-01-29T02:55:00Z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A7F7BEEEB06C45A683F144C21843A981</vt:lpwstr>
  </property>
</Properties>
</file>