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sz w:val="20"/>
                <w:u w:color="auto"/>
              </w:rPr>
              <w:t>重庆市涪陵区工商业联合会</w:t>
            </w: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409.34</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377.01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23.41</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71.81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15.08</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11.91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432.75</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475.81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576.91</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533.84</w:t>
            </w: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1,009.66</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1,009.66</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重庆市涪陵区工商业联合会</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432.75</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409.34</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23.41</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333.95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310.53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23.41</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审计事务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331.24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307.83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23.41</w:t>
            </w: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84.32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60.91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23.41</w:t>
            </w: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23.38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23.38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36.76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36.76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重庆市涪陵区工商业联合会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475.81</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346.12</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129.70</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377.01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247.31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129.70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审计事务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374.30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246.92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127.39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127.39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71.81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23.38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23.38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36.76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36.76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15.08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12.48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11.91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409.34</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322.34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322.34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71.81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15.08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15.08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11.91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11.91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409.34</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421.15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421.15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11.81</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11.81</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421.15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421.15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421.15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421.15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346.12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75.03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322.34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247.31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75.03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审计事务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0.40</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2.31</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0.40</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2.31</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319.64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246.92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72.72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200.25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200.25</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72.72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72.72</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46.67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46.67</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71.81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71.81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71.81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23.38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23.38</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11.67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11.67</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36.76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36.76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15.08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15.08</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15.08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15.08</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12.48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12.48</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2.61</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11.91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11.91</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268.77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38.60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1.22</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64.47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31.63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1.22</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75.39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21.17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28.31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14.29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10.83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13.18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37.53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36.76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0.77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8.99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306.30</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39.82</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4151"/>
        <w:gridCol w:w="2228"/>
        <w:gridCol w:w="2176"/>
        <w:gridCol w:w="4643"/>
        <w:gridCol w:w="2124"/>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重庆市涪陵区工商业联合会</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30.52</w:t>
            </w: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3.11</w:t>
            </w: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3.11</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30.52</w:t>
            </w: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2.80</w:t>
            </w: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2.80</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2.80</w:t>
            </w: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2.80</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0.31</w:t>
            </w: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0.31</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0.31</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32</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r>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16.17</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bl>
    <w:p>
      <w:pPr>
        <w:spacing w:line="240" w:lineRule="exact"/>
        <w:rPr>
          <w:rFonts w:hint="default" w:cs="宋体"/>
          <w:sz w:val="20"/>
          <w:szCs w:val="20"/>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bookmarkStart w:id="0" w:name="_GoBack"/>
      <w:bookmarkEnd w:id="0"/>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RhOWE2N2NjN2Y4ZWMzYzFhMzY1N2Y5YjZiMGViN2EifQ=="/>
  </w:docVars>
  <w:rsids>
    <w:rsidRoot w:val="00B03CCD"/>
    <w:rsid w:val="000D7702"/>
    <w:rsid w:val="0013686F"/>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726A7"/>
    <w:rsid w:val="00A820B7"/>
    <w:rsid w:val="00AA1A45"/>
    <w:rsid w:val="00AC5566"/>
    <w:rsid w:val="00B03CCD"/>
    <w:rsid w:val="00BF5A85"/>
    <w:rsid w:val="00C6526A"/>
    <w:rsid w:val="00C96B11"/>
    <w:rsid w:val="00CC6B99"/>
    <w:rsid w:val="00DF7706"/>
    <w:rsid w:val="00E654E2"/>
    <w:rsid w:val="00E76362"/>
    <w:rsid w:val="00F137D3"/>
    <w:rsid w:val="00F13C36"/>
    <w:rsid w:val="00F32C53"/>
    <w:rsid w:val="00F73F90"/>
    <w:rsid w:val="00F7623D"/>
    <w:rsid w:val="01474EBF"/>
    <w:rsid w:val="01F3521E"/>
    <w:rsid w:val="03B87EA0"/>
    <w:rsid w:val="03CD1A9F"/>
    <w:rsid w:val="03E3214F"/>
    <w:rsid w:val="044C50BA"/>
    <w:rsid w:val="05BC6D49"/>
    <w:rsid w:val="06194FF1"/>
    <w:rsid w:val="069F5975"/>
    <w:rsid w:val="06A2550B"/>
    <w:rsid w:val="06F80EE2"/>
    <w:rsid w:val="07001CCA"/>
    <w:rsid w:val="075678DB"/>
    <w:rsid w:val="079D7CC7"/>
    <w:rsid w:val="07C83D4F"/>
    <w:rsid w:val="08051BCA"/>
    <w:rsid w:val="086C12F4"/>
    <w:rsid w:val="08BA052C"/>
    <w:rsid w:val="08DB07BA"/>
    <w:rsid w:val="0969353F"/>
    <w:rsid w:val="098305D0"/>
    <w:rsid w:val="098A0877"/>
    <w:rsid w:val="0A5C4B69"/>
    <w:rsid w:val="0A86124A"/>
    <w:rsid w:val="0AB54CC0"/>
    <w:rsid w:val="0B9335CE"/>
    <w:rsid w:val="0B947BFC"/>
    <w:rsid w:val="0C7927C4"/>
    <w:rsid w:val="0C9B098C"/>
    <w:rsid w:val="0D673E11"/>
    <w:rsid w:val="0DDA54E4"/>
    <w:rsid w:val="0E3A5F83"/>
    <w:rsid w:val="0E74421A"/>
    <w:rsid w:val="0F836721"/>
    <w:rsid w:val="0FA25D96"/>
    <w:rsid w:val="107B59E5"/>
    <w:rsid w:val="10EC0126"/>
    <w:rsid w:val="10F70B9A"/>
    <w:rsid w:val="111445C7"/>
    <w:rsid w:val="111451B1"/>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3E10F9"/>
    <w:rsid w:val="23DA37D9"/>
    <w:rsid w:val="24B92327"/>
    <w:rsid w:val="24C14514"/>
    <w:rsid w:val="2533755C"/>
    <w:rsid w:val="25791755"/>
    <w:rsid w:val="26396DF4"/>
    <w:rsid w:val="27167136"/>
    <w:rsid w:val="27B23302"/>
    <w:rsid w:val="29310A5F"/>
    <w:rsid w:val="29C37A35"/>
    <w:rsid w:val="2A076083"/>
    <w:rsid w:val="2A73162E"/>
    <w:rsid w:val="2B167953"/>
    <w:rsid w:val="2B200583"/>
    <w:rsid w:val="2B520F61"/>
    <w:rsid w:val="2B8209DE"/>
    <w:rsid w:val="2C6762A3"/>
    <w:rsid w:val="2EBF7B3E"/>
    <w:rsid w:val="2EDE1934"/>
    <w:rsid w:val="2F005714"/>
    <w:rsid w:val="2FCA4B37"/>
    <w:rsid w:val="2FCB35A6"/>
    <w:rsid w:val="2FE029D7"/>
    <w:rsid w:val="2FF06E00"/>
    <w:rsid w:val="30562E26"/>
    <w:rsid w:val="30586FEC"/>
    <w:rsid w:val="30EC7046"/>
    <w:rsid w:val="315F0B22"/>
    <w:rsid w:val="319D022C"/>
    <w:rsid w:val="31C90022"/>
    <w:rsid w:val="31D84415"/>
    <w:rsid w:val="31F96987"/>
    <w:rsid w:val="32285F6F"/>
    <w:rsid w:val="32770556"/>
    <w:rsid w:val="329C0913"/>
    <w:rsid w:val="32AA0460"/>
    <w:rsid w:val="3337290D"/>
    <w:rsid w:val="3397278E"/>
    <w:rsid w:val="33E31118"/>
    <w:rsid w:val="33EF7674"/>
    <w:rsid w:val="342D7BC6"/>
    <w:rsid w:val="352930DB"/>
    <w:rsid w:val="35573069"/>
    <w:rsid w:val="355F6038"/>
    <w:rsid w:val="35870ABB"/>
    <w:rsid w:val="358C217E"/>
    <w:rsid w:val="35937598"/>
    <w:rsid w:val="36C9128A"/>
    <w:rsid w:val="372E3953"/>
    <w:rsid w:val="37841E99"/>
    <w:rsid w:val="37BF1123"/>
    <w:rsid w:val="37CC315A"/>
    <w:rsid w:val="383C3F15"/>
    <w:rsid w:val="38BE4696"/>
    <w:rsid w:val="3939115E"/>
    <w:rsid w:val="39B82A39"/>
    <w:rsid w:val="39BF540B"/>
    <w:rsid w:val="39C42CA8"/>
    <w:rsid w:val="39DC4FD6"/>
    <w:rsid w:val="39F03D7A"/>
    <w:rsid w:val="39F33306"/>
    <w:rsid w:val="3A2C1C67"/>
    <w:rsid w:val="3AB900AC"/>
    <w:rsid w:val="3B1705E5"/>
    <w:rsid w:val="3B18334B"/>
    <w:rsid w:val="3B223CA0"/>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6D658D"/>
    <w:rsid w:val="41962EF5"/>
    <w:rsid w:val="41A27AEC"/>
    <w:rsid w:val="41E0734B"/>
    <w:rsid w:val="426554D0"/>
    <w:rsid w:val="426C1EA8"/>
    <w:rsid w:val="42736402"/>
    <w:rsid w:val="42E86A87"/>
    <w:rsid w:val="43307B09"/>
    <w:rsid w:val="438D0E97"/>
    <w:rsid w:val="43BB152F"/>
    <w:rsid w:val="44C37687"/>
    <w:rsid w:val="45CB699A"/>
    <w:rsid w:val="45E370C0"/>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6469AE"/>
    <w:rsid w:val="4FEA65B7"/>
    <w:rsid w:val="5079410E"/>
    <w:rsid w:val="50F06B6E"/>
    <w:rsid w:val="52234D33"/>
    <w:rsid w:val="522F6E0C"/>
    <w:rsid w:val="52463BA1"/>
    <w:rsid w:val="52ED493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7D1DDE"/>
    <w:rsid w:val="578867FC"/>
    <w:rsid w:val="5842572D"/>
    <w:rsid w:val="59E66CC8"/>
    <w:rsid w:val="5A3B59D6"/>
    <w:rsid w:val="5A74434C"/>
    <w:rsid w:val="5AD134D8"/>
    <w:rsid w:val="5B6503B1"/>
    <w:rsid w:val="5C263CE4"/>
    <w:rsid w:val="5C5D2777"/>
    <w:rsid w:val="5CF66BF3"/>
    <w:rsid w:val="5D290C69"/>
    <w:rsid w:val="5F2D4A41"/>
    <w:rsid w:val="60C74F6C"/>
    <w:rsid w:val="61025A59"/>
    <w:rsid w:val="613D5BBC"/>
    <w:rsid w:val="61536C39"/>
    <w:rsid w:val="617C1CB0"/>
    <w:rsid w:val="62944DD7"/>
    <w:rsid w:val="6319381F"/>
    <w:rsid w:val="63236436"/>
    <w:rsid w:val="63C25DC5"/>
    <w:rsid w:val="63C62057"/>
    <w:rsid w:val="64571EF5"/>
    <w:rsid w:val="649371CA"/>
    <w:rsid w:val="64D02714"/>
    <w:rsid w:val="64FB113D"/>
    <w:rsid w:val="656152C6"/>
    <w:rsid w:val="6587477F"/>
    <w:rsid w:val="658C3A08"/>
    <w:rsid w:val="659B389F"/>
    <w:rsid w:val="65C031CA"/>
    <w:rsid w:val="65CE6852"/>
    <w:rsid w:val="66267C04"/>
    <w:rsid w:val="663F505A"/>
    <w:rsid w:val="66686C88"/>
    <w:rsid w:val="6692780E"/>
    <w:rsid w:val="66967186"/>
    <w:rsid w:val="66EE5541"/>
    <w:rsid w:val="676E3E49"/>
    <w:rsid w:val="67924660"/>
    <w:rsid w:val="68407834"/>
    <w:rsid w:val="6883293E"/>
    <w:rsid w:val="688412AD"/>
    <w:rsid w:val="68EB1B71"/>
    <w:rsid w:val="69475C96"/>
    <w:rsid w:val="6AAD2300"/>
    <w:rsid w:val="6B474EF5"/>
    <w:rsid w:val="6BBF53FD"/>
    <w:rsid w:val="6C111246"/>
    <w:rsid w:val="6C560CAE"/>
    <w:rsid w:val="6C576495"/>
    <w:rsid w:val="6CF37449"/>
    <w:rsid w:val="6D903FF5"/>
    <w:rsid w:val="6DA955B8"/>
    <w:rsid w:val="6DE346AB"/>
    <w:rsid w:val="6DE5391A"/>
    <w:rsid w:val="6E8F4A2D"/>
    <w:rsid w:val="6EFD1324"/>
    <w:rsid w:val="6F5A53AC"/>
    <w:rsid w:val="6FAC003D"/>
    <w:rsid w:val="6FE55E12"/>
    <w:rsid w:val="6FFB2E76"/>
    <w:rsid w:val="704A7F86"/>
    <w:rsid w:val="708F6F7F"/>
    <w:rsid w:val="70BC7A49"/>
    <w:rsid w:val="70D94BD3"/>
    <w:rsid w:val="71A14E1B"/>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030635"/>
    <w:rsid w:val="7A1525F7"/>
    <w:rsid w:val="7B420052"/>
    <w:rsid w:val="7B607AF4"/>
    <w:rsid w:val="7B861484"/>
    <w:rsid w:val="7BD06A28"/>
    <w:rsid w:val="7C3A7C0B"/>
    <w:rsid w:val="7C5248E4"/>
    <w:rsid w:val="7C566698"/>
    <w:rsid w:val="7C5866A3"/>
    <w:rsid w:val="7D284642"/>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autoRedefine/>
    <w:qFormat/>
    <w:uiPriority w:val="0"/>
    <w:rPr>
      <w:rFonts w:ascii="宋体" w:hAnsi="宋体"/>
      <w:sz w:val="18"/>
      <w:szCs w:val="18"/>
    </w:rPr>
  </w:style>
  <w:style w:type="paragraph" w:styleId="16">
    <w:name w:val="List Paragraph"/>
    <w:basedOn w:val="1"/>
    <w:autoRedefine/>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3522</Words>
  <Characters>4172</Characters>
  <Lines>196</Lines>
  <Paragraphs>55</Paragraphs>
  <TotalTime>11</TotalTime>
  <ScaleCrop>false</ScaleCrop>
  <LinksUpToDate>false</LinksUpToDate>
  <CharactersWithSpaces>4197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2024-10-23T02:47:48Z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BB46EABDBB2749749395447164B066B3_12</vt:lpwstr>
  </property>
</Properties>
</file>