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8"/>
        <w:widowControl/>
        <w:shd w:val="clear" w:color="auto" w:fill="FFFFFF"/>
        <w:spacing w:before="0" w:beforeAutospacing="0" w:after="0" w:afterAutospacing="0"/>
        <w:jc w:val="both"/>
        <w:rPr>
          <w:rFonts w:ascii="宋体" w:eastAsia="方正黑体_GBK" w:cs="宋体" w:hAnsi="宋体"/>
          <w:color w:val="000000"/>
        </w:rPr>
      </w:pPr>
    </w:p>
    <w:p>
      <w:pPr>
        <w:pStyle w:val="18"/>
        <w:widowControl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color w:val="000000"/>
          <w:sz w:val="44"/>
          <w:szCs w:val="44"/>
          <w:shd w:val="clear" w:color="auto" w:fill="FFFFFF"/>
        </w:rPr>
        <w:t>政府网站工作年度报表</w:t>
      </w:r>
    </w:p>
    <w:p>
      <w:pPr>
        <w:pStyle w:val="18"/>
        <w:widowControl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（202</w:t>
      </w:r>
      <w:r>
        <w:rPr>
          <w:rFonts w:ascii="方正仿宋_GBK" w:eastAsia="方正仿宋_GBK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年度）</w:t>
      </w:r>
    </w:p>
    <w:p>
      <w:pPr>
        <w:pStyle w:val="18"/>
        <w:widowControl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</w:p>
    <w:p>
      <w:pPr>
        <w:pStyle w:val="18"/>
        <w:widowControl/>
        <w:shd w:val="clear" w:color="auto" w:fill="FFFFFF"/>
        <w:spacing w:before="0" w:beforeAutospacing="0" w:afterLines="50" w:after="160" w:afterAutospacing="0" w:line="300" w:lineRule="exact"/>
        <w:jc w:val="both"/>
        <w:rPr>
          <w:rFonts w:ascii="方正黑体_GBK" w:eastAsia="方正黑体_GBK" w:cs="方正黑体_GBK"/>
          <w:color w:val="000000"/>
          <w:sz w:val="21"/>
          <w:szCs w:val="21"/>
        </w:rPr>
      </w:pPr>
      <w:r>
        <w:rPr>
          <w:rFonts w:ascii="方正黑体_GBK" w:eastAsia="方正黑体_GBK" w:cs="方正黑体_GBK" w:hint="eastAsia"/>
          <w:color w:val="000000"/>
          <w:sz w:val="21"/>
          <w:szCs w:val="21"/>
          <w:shd w:val="clear" w:color="auto" w:fill="FFFFFF"/>
        </w:rPr>
        <w:t>填报单位：重庆市涪陵区人民政府办公室</w:t>
      </w:r>
    </w:p>
    <w:tbl>
      <w:tblPr>
        <w:jc w:val="center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744"/>
        <w:gridCol w:w="2964"/>
        <w:gridCol w:w="1984"/>
      </w:tblGrid>
      <w:tr>
        <w:trPr>
          <w:trHeight w:val="5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网站名称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 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首页网址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http://www.fl.gov.cn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主办单位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重庆市涪陵区人民政府办公室 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网站类型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政府门户网站　　　□部门网站　　　□专项网站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政府网站标识码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5001020013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ICP备案号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渝ICP备20007872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公安机关备案号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渝公网安备50010202000327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独立用户访问总量（单位：个）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4855788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网站总访问量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（单位：次）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9636733</w:t>
            </w:r>
            <w:r>
              <w:rPr>
                <w:rFonts w:ascii="方正仿宋_GBK" w:eastAsia="方正仿宋_GBK" w:cs="方正仿宋_GBK" w:hint="eastAsia"/>
              </w:rPr>
              <w:t> 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（单位：条）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总数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36</w:t>
            </w:r>
            <w:r>
              <w:rPr>
                <w:rFonts w:ascii="方正仿宋_GBK" w:eastAsia="方正仿宋_GBK" w:cs="方正仿宋_GBK"/>
              </w:rPr>
              <w:t>493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概况类信息更新量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287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政务动态信息更新量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20372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  <w:spacing w:val="-6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-6"/>
              </w:rPr>
              <w:t>信息公开目录信息更新量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15834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专栏专题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（单位：个）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维护数量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1</w:t>
            </w:r>
            <w:r>
              <w:rPr>
                <w:rFonts w:ascii="方正仿宋_GBK" w:eastAsia="方正仿宋_GBK" w:cs="方正仿宋_GBK"/>
              </w:rPr>
              <w:t>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新开设数量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2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解读回应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解读信息发布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总数（单位：条）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128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解读材料数量（单位：条）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53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解读产品数量（单位：个）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63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媒体评论文章数量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（单位：篇）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ind w:leftChars="-27" w:left="7" w:hangingChars="27" w:hanging="64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12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回应公众关注热点或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重大舆情数量（单位：次）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35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办事服务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是否发布服务事项目录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注册用户数（单位：个）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/>
                <w:color w:val="000000"/>
              </w:rPr>
              <w:t>26373884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政务服务事项数量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（单位：项）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1480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可全程在线办理政务服务事项数量（单位：项）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965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办件量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（单位：件）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总数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62103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自然人办件量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52714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法人办件量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9389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互动交流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是否使用统一平台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留言办理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收到留言数量（单位：条）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lang w:val="en-US" w:eastAsia="zh-CN"/>
              </w:rPr>
              <w:t>614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办结留言数量（单位：条）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lang w:val="en-US" w:eastAsia="zh-CN"/>
              </w:rPr>
              <w:t>545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平均办理时间（单位：天）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5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公开答复数量（单位：条）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lang w:val="en-US" w:eastAsia="zh-CN"/>
              </w:rPr>
              <w:t>29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征集调查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征集调查期数（单位：期）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54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收到意见数量（单位：</w:t>
            </w:r>
            <w:r>
              <w:rPr>
                <w:rFonts w:ascii="方正仿宋_GBK" w:eastAsia="方正仿宋_GBK" w:cs="方正仿宋_GBK" w:hint="eastAsia"/>
              </w:rPr>
              <w:t>条</w:t>
            </w:r>
            <w:r>
              <w:rPr>
                <w:rFonts w:ascii="方正仿宋_GBK" w:eastAsia="方正仿宋_GBK" w:cs="方正仿宋_GBK" w:hint="eastAsia"/>
                <w:color w:val="000000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173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公布调查结果期数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54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在线访谈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访谈期数（单位：期）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网民留言数量（单位：条）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答复网民提问数量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是否提供智能问答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□是　　　</w:t>
            </w: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否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安全防护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安全检测评估次数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（单位：次）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16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发现问题数量（单位：个）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5</w:t>
            </w:r>
            <w:r>
              <w:rPr>
                <w:rFonts w:ascii="方正仿宋_GBK" w:eastAsia="方正仿宋_GBK" w:cs="方正仿宋_GBK"/>
                <w:color w:val="000000"/>
              </w:rPr>
              <w:t>7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问题整改数量（单位：个）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5</w:t>
            </w:r>
            <w:r>
              <w:rPr>
                <w:rFonts w:ascii="方正仿宋_GBK" w:eastAsia="方正仿宋_GBK" w:cs="方正仿宋_GBK"/>
                <w:color w:val="000000"/>
              </w:rPr>
              <w:t>7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是否建立安全监测预警机制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是否开展应急演练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是否明确网站安全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责任人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移动新媒体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是否有移动新媒体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微博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/>
                <w:color w:val="000000"/>
              </w:rPr>
              <w:t>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关注量（单位：个）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/>
                <w:color w:val="000000"/>
              </w:rPr>
              <w:t>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微信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2242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订阅数（单位：个）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7170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移动客户端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下载量（单位：个）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无</w:t>
            </w:r>
            <w:bookmarkStart w:id="0" w:name="_GoBack"/>
            <w:bookmarkEnd w:id="0"/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其他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无 </w:t>
            </w:r>
          </w:p>
        </w:tc>
      </w:tr>
      <w:tr>
        <w:trPr>
          <w:trHeight w:val="1339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创新发展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widowControl/>
              <w:spacing w:before="0" w:beforeAutospacing="0" w:after="0" w:afterAutospacing="0" w:line="300" w:lineRule="exact"/>
              <w:jc w:val="both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搜索即服务　　　□多语言版本　　　</w:t>
            </w: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无障碍浏览　　□千人千网</w:t>
            </w:r>
          </w:p>
          <w:p>
            <w:pPr>
              <w:pStyle w:val="18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 w:hint="eastAsia"/>
                <w:color w:val="000000"/>
              </w:rPr>
            </w:pPr>
          </w:p>
          <w:p>
            <w:pPr>
              <w:pStyle w:val="18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□其他__________________________________</w:t>
            </w:r>
          </w:p>
        </w:tc>
      </w:tr>
    </w:tbl>
    <w:p>
      <w:pPr>
        <w:pStyle w:val="18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</w:pPr>
    </w:p>
    <w:p>
      <w:pPr>
        <w:pStyle w:val="18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单位负责人：何伟            </w:t>
      </w:r>
    </w:p>
    <w:p>
      <w:pPr>
        <w:pStyle w:val="18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审核人：龚</w:t>
      </w:r>
      <w:r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  <w:t>忠</w:t>
      </w: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旺                    </w:t>
      </w:r>
    </w:p>
    <w:p>
      <w:pPr>
        <w:pStyle w:val="18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填报人：熊志宏</w:t>
      </w:r>
    </w:p>
    <w:p>
      <w:pPr>
        <w:pStyle w:val="18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联系电话： 72288301            </w:t>
      </w:r>
    </w:p>
    <w:p>
      <w:pPr>
        <w:pStyle w:val="18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宋体" w:cs="宋体"/>
          <w:color w:val="000000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填报日期：2023年1月1</w:t>
      </w:r>
      <w:r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  <w:t>8</w:t>
      </w: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日</w:t>
      </w:r>
    </w:p>
    <w:p>
      <w:pPr>
        <w:pStyle w:val="18"/>
        <w:widowControl/>
        <w:shd w:val="clear" w:color="auto" w:fill="FFFFFF"/>
        <w:spacing w:before="0" w:beforeAutospacing="0" w:after="0" w:afterAutospacing="0"/>
        <w:jc w:val="both"/>
        <w:rPr>
          <w:rFonts w:ascii="宋体" w:cs="宋体"/>
          <w:b/>
          <w:color w:val="000000"/>
          <w:shd w:val="clear" w:color="auto" w:fill="FFFFFF"/>
        </w:rPr>
      </w:pPr>
    </w:p>
    <w:sectPr>
      <w:footerReference w:type="default" r:id="rId2"/>
      <w:pgSz w:w="11906" w:h="16838"/>
      <w:pgMar w:top="1440" w:right="1803" w:bottom="1440" w:left="1803" w:header="851" w:footer="992" w:gutter="0"/>
      <w:pgNumType w:fmt="numberInDash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MS Mincho">
    <w:altName w:val="Yu Gothic UI"/>
    <w:panose1 w:val="02020609040205080304"/>
    <w:charset w:val="80"/>
    <w:family w:val="modern"/>
    <w:pitch w:val="variable"/>
    <w:sig w:usb0="00000000" w:usb1="00000000" w:usb2="00000012" w:usb3="00000000" w:csb0="0002009F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方正书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79400" cy="21717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22.0pt;height:17.1pt;z-index:10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Normal (Web)"/>
    <w:basedOn w:val="0"/>
    <w:autoRedefine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9">
    <w:name w:val="font21"/>
    <w:basedOn w:val="10"/>
    <w:rPr>
      <w:rFonts w:ascii="方正书宋_GBK" w:eastAsia="方正书宋_GBK" w:cs="方正书宋_GBK"/>
      <w:color w:val="000000"/>
      <w:sz w:val="24"/>
      <w:szCs w:val="24"/>
      <w:u w:val="none"/>
    </w:rPr>
  </w:style>
  <w:style w:type="character" w:customStyle="1" w:styleId="20">
    <w:name w:val="font11"/>
    <w:basedOn w:val="10"/>
    <w:autoRedefine/>
    <w:rPr>
      <w:rFonts w:ascii="Times New Roman" w:cs="Times New Roman" w:hAnsi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298</TotalTime>
  <Application>Yozo_Office</Application>
  <Pages>3</Pages>
  <Words>829</Words>
  <Characters>1002</Characters>
  <Lines>158</Lines>
  <Paragraphs>149</Paragraphs>
  <CharactersWithSpaces>1102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重庆市人民政府办公厅关于做好</dc:title>
  <dc:creator>dzb</dc:creator>
  <cp:lastModifiedBy>Microsoft</cp:lastModifiedBy>
  <cp:revision>0</cp:revision>
  <cp:lastPrinted>2023-01-16T14:51:00Z</cp:lastPrinted>
  <dcterms:created xsi:type="dcterms:W3CDTF">2023-01-31T12:34:00Z</dcterms:created>
  <dcterms:modified xsi:type="dcterms:W3CDTF">2024-01-30T03:28:05Z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7C66DD1F0C224B04A3792C556CB22B3A_12</vt:lpwstr>
  </property>
</Properties>
</file>