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18"/>
        <w:widowControl/>
        <w:shd w:val="clear" w:color="auto" w:fill="FFFFFF"/>
        <w:spacing w:before="0" w:beforeAutospacing="0" w:after="0" w:afterAutospacing="0"/>
        <w:jc w:val="both"/>
        <w:rPr>
          <w:rFonts w:ascii="宋体" w:eastAsia="方正黑体_GBK" w:cs="宋体" w:hAnsi="宋体"/>
          <w:color w:val="000000"/>
        </w:rPr>
      </w:pPr>
    </w:p>
    <w:p>
      <w:pPr>
        <w:pStyle w:val="18"/>
        <w:widowControl/>
        <w:shd w:val="clear" w:color="auto" w:fill="FFFFFF"/>
        <w:spacing w:before="0" w:beforeAutospacing="0" w:after="0" w:afterAutospacing="0"/>
        <w:jc w:val="center"/>
        <w:rPr>
          <w:rFonts w:asci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ascii="方正小标宋_GBK" w:eastAsia="方正小标宋_GBK" w:cs="方正小标宋_GBK" w:hint="eastAsia"/>
          <w:bCs/>
          <w:color w:val="000000"/>
          <w:sz w:val="44"/>
          <w:szCs w:val="44"/>
          <w:shd w:val="clear" w:color="auto" w:fill="FFFFFF"/>
        </w:rPr>
        <w:t>政府网站工作年度报表</w:t>
      </w:r>
    </w:p>
    <w:p>
      <w:pPr>
        <w:pStyle w:val="18"/>
        <w:widowControl/>
        <w:shd w:val="clear" w:color="auto" w:fill="FFFFFF"/>
        <w:spacing w:before="0" w:beforeAutospacing="0" w:after="0" w:afterAutospacing="0"/>
        <w:jc w:val="center"/>
        <w:rPr>
          <w:rFonts w:ascii="方正仿宋_GBK" w:eastAsia="方正仿宋_GBK" w:cs="方正仿宋_GBK" w:hint="eastAsia"/>
          <w:color w:val="000000"/>
          <w:sz w:val="32"/>
          <w:szCs w:val="32"/>
          <w:shd w:val="clear" w:color="auto" w:fill="FFFFFF"/>
        </w:rPr>
      </w:pPr>
      <w:r>
        <w:rPr>
          <w:rFonts w:ascii="方正仿宋_GBK" w:eastAsia="方正仿宋_GBK" w:cs="方正仿宋_GBK" w:hint="eastAsia"/>
          <w:color w:val="000000"/>
          <w:sz w:val="32"/>
          <w:szCs w:val="32"/>
          <w:shd w:val="clear" w:color="auto" w:fill="FFFFFF"/>
        </w:rPr>
        <w:t>（202</w:t>
      </w:r>
      <w:r>
        <w:rPr>
          <w:rFonts w:ascii="方正仿宋_GBK" w:eastAsia="方正仿宋_GBK" w:cs="方正仿宋_GBK"/>
          <w:color w:val="000000"/>
          <w:sz w:val="32"/>
          <w:szCs w:val="32"/>
          <w:shd w:val="clear" w:color="auto" w:fill="FFFFFF"/>
        </w:rPr>
        <w:t>3</w:t>
      </w:r>
      <w:r>
        <w:rPr>
          <w:rFonts w:ascii="方正仿宋_GBK" w:eastAsia="方正仿宋_GBK" w:cs="方正仿宋_GBK" w:hint="eastAsia"/>
          <w:color w:val="000000"/>
          <w:sz w:val="32"/>
          <w:szCs w:val="32"/>
          <w:shd w:val="clear" w:color="auto" w:fill="FFFFFF"/>
        </w:rPr>
        <w:t>年度）</w:t>
      </w:r>
    </w:p>
    <w:p>
      <w:pPr>
        <w:pStyle w:val="18"/>
        <w:widowControl/>
        <w:shd w:val="clear" w:color="auto" w:fill="FFFFFF"/>
        <w:spacing w:before="0" w:beforeAutospacing="0" w:after="0" w:afterAutospacing="0"/>
        <w:jc w:val="center"/>
        <w:rPr>
          <w:rFonts w:ascii="方正仿宋_GBK" w:eastAsia="方正仿宋_GBK" w:cs="方正仿宋_GBK"/>
          <w:color w:val="000000"/>
          <w:sz w:val="32"/>
          <w:szCs w:val="32"/>
        </w:rPr>
      </w:pPr>
    </w:p>
    <w:p>
      <w:pPr>
        <w:pStyle w:val="18"/>
        <w:widowControl/>
        <w:shd w:val="clear" w:color="auto" w:fill="FFFFFF"/>
        <w:spacing w:before="0" w:beforeAutospacing="0" w:afterLines="50" w:after="160" w:afterAutospacing="0" w:line="300" w:lineRule="exact"/>
        <w:jc w:val="both"/>
        <w:rPr>
          <w:rFonts w:ascii="方正黑体_GBK" w:eastAsia="方正黑体_GBK" w:cs="方正黑体_GBK"/>
          <w:color w:val="000000"/>
          <w:sz w:val="21"/>
          <w:szCs w:val="21"/>
        </w:rPr>
      </w:pPr>
      <w:r>
        <w:rPr>
          <w:rFonts w:ascii="方正黑体_GBK" w:eastAsia="方正黑体_GBK" w:cs="方正黑体_GBK" w:hint="eastAsia"/>
          <w:color w:val="000000"/>
          <w:sz w:val="21"/>
          <w:szCs w:val="21"/>
          <w:shd w:val="clear" w:color="auto" w:fill="FFFFFF"/>
        </w:rPr>
        <w:t>填报单位：重庆市涪陵区人民政府办公室</w:t>
      </w:r>
    </w:p>
    <w:tbl>
      <w:tblPr>
        <w:jc w:val="center"/>
        <w:tblW w:w="9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8"/>
        <w:gridCol w:w="2744"/>
        <w:gridCol w:w="2964"/>
        <w:gridCol w:w="1984"/>
      </w:tblGrid>
      <w:tr>
        <w:trPr>
          <w:trHeight w:val="5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网站名称</w:t>
            </w:r>
          </w:p>
        </w:tc>
        <w:tc>
          <w:tcPr>
            <w:tcW w:w="76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重庆市涪陵区人民政府 </w:t>
            </w:r>
          </w:p>
        </w:tc>
      </w:tr>
      <w:tr>
        <w:trPr>
          <w:trHeight w:val="595"/>
        </w:trPr>
        <w:tc>
          <w:tcPr>
            <w:tcW w:w="2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首页网址</w:t>
            </w:r>
          </w:p>
        </w:tc>
        <w:tc>
          <w:tcPr>
            <w:tcW w:w="76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/>
                <w:color w:val="000000"/>
              </w:rPr>
              <w:t>http://www.fl.gov.cn</w:t>
            </w:r>
          </w:p>
        </w:tc>
      </w:tr>
      <w:tr>
        <w:trPr>
          <w:trHeight w:val="595"/>
        </w:trPr>
        <w:tc>
          <w:tcPr>
            <w:tcW w:w="2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主办单位</w:t>
            </w:r>
          </w:p>
        </w:tc>
        <w:tc>
          <w:tcPr>
            <w:tcW w:w="76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重庆市涪陵区人民政府办公室 </w:t>
            </w:r>
          </w:p>
        </w:tc>
      </w:tr>
      <w:tr>
        <w:trPr>
          <w:trHeight w:val="595"/>
        </w:trPr>
        <w:tc>
          <w:tcPr>
            <w:tcW w:w="2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网站类型</w:t>
            </w:r>
          </w:p>
        </w:tc>
        <w:tc>
          <w:tcPr>
            <w:tcW w:w="76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MS Mincho" w:eastAsia="MS Mincho" w:cs="MS Mincho" w:hint="eastAsia"/>
                <w:color w:val="000000"/>
              </w:rPr>
              <w:t>☑</w:t>
            </w:r>
            <w:r>
              <w:rPr>
                <w:rFonts w:ascii="方正仿宋_GBK" w:eastAsia="方正仿宋_GBK" w:cs="方正仿宋_GBK" w:hint="eastAsia"/>
                <w:color w:val="000000"/>
              </w:rPr>
              <w:t>政府门户网站　　　□部门网站　　　□专项网站</w:t>
            </w:r>
          </w:p>
        </w:tc>
      </w:tr>
      <w:tr>
        <w:trPr>
          <w:trHeight w:val="595"/>
        </w:trPr>
        <w:tc>
          <w:tcPr>
            <w:tcW w:w="2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政府网站标识码</w:t>
            </w:r>
          </w:p>
        </w:tc>
        <w:tc>
          <w:tcPr>
            <w:tcW w:w="76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 5001020013</w:t>
            </w:r>
          </w:p>
        </w:tc>
      </w:tr>
      <w:tr>
        <w:trPr>
          <w:trHeight w:val="595"/>
        </w:trPr>
        <w:tc>
          <w:tcPr>
            <w:tcW w:w="2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ICP备案号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 渝ICP备20007872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公安机关备案号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渝公网安备50010202000327</w:t>
            </w:r>
          </w:p>
        </w:tc>
      </w:tr>
      <w:tr>
        <w:trPr>
          <w:trHeight w:val="595"/>
        </w:trPr>
        <w:tc>
          <w:tcPr>
            <w:tcW w:w="2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独立用户访问总量（单位：个）</w:t>
            </w:r>
          </w:p>
        </w:tc>
        <w:tc>
          <w:tcPr>
            <w:tcW w:w="76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/>
              </w:rPr>
              <w:t>4855788</w:t>
            </w:r>
          </w:p>
        </w:tc>
      </w:tr>
      <w:tr>
        <w:trPr>
          <w:trHeight w:val="595"/>
        </w:trPr>
        <w:tc>
          <w:tcPr>
            <w:tcW w:w="2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网站总访问量</w:t>
            </w:r>
          </w:p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（单位：次）</w:t>
            </w:r>
          </w:p>
        </w:tc>
        <w:tc>
          <w:tcPr>
            <w:tcW w:w="76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/>
              </w:rPr>
              <w:t>9636733</w:t>
            </w:r>
            <w:r>
              <w:rPr>
                <w:rFonts w:ascii="方正仿宋_GBK" w:eastAsia="方正仿宋_GBK" w:cs="方正仿宋_GBK" w:hint="eastAsia"/>
              </w:rPr>
              <w:t> </w:t>
            </w:r>
          </w:p>
        </w:tc>
      </w:tr>
      <w:tr>
        <w:trPr>
          <w:trHeight w:val="595"/>
        </w:trPr>
        <w:tc>
          <w:tcPr>
            <w:tcW w:w="22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信息发布</w:t>
            </w:r>
          </w:p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（单位：条）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 w:hint="eastAsia"/>
              </w:rPr>
              <w:t>总数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 w:hint="eastAsia"/>
              </w:rPr>
              <w:t>36</w:t>
            </w:r>
            <w:r>
              <w:rPr>
                <w:rFonts w:ascii="方正仿宋_GBK" w:eastAsia="方正仿宋_GBK" w:cs="方正仿宋_GBK"/>
              </w:rPr>
              <w:t>493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概况类信息更新量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 w:hint="eastAsia"/>
              </w:rPr>
              <w:t> </w:t>
            </w:r>
            <w:r>
              <w:rPr>
                <w:rFonts w:ascii="方正仿宋_GBK" w:eastAsia="方正仿宋_GBK" w:cs="方正仿宋_GBK"/>
              </w:rPr>
              <w:t>287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政务动态信息更新量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 w:hint="eastAsia"/>
              </w:rPr>
              <w:t> </w:t>
            </w:r>
            <w:r>
              <w:rPr>
                <w:rFonts w:ascii="方正仿宋_GBK" w:eastAsia="方正仿宋_GBK" w:cs="方正仿宋_GBK"/>
              </w:rPr>
              <w:t>20372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  <w:spacing w:val="-6"/>
              </w:rPr>
            </w:pPr>
            <w:r>
              <w:rPr>
                <w:rFonts w:ascii="方正仿宋_GBK" w:eastAsia="方正仿宋_GBK" w:cs="方正仿宋_GBK" w:hint="eastAsia"/>
                <w:color w:val="000000"/>
                <w:spacing w:val="-6"/>
              </w:rPr>
              <w:t>信息公开目录信息更新量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 w:hint="eastAsia"/>
              </w:rPr>
              <w:t> </w:t>
            </w:r>
            <w:r>
              <w:rPr>
                <w:rFonts w:ascii="方正仿宋_GBK" w:eastAsia="方正仿宋_GBK" w:cs="方正仿宋_GBK"/>
              </w:rPr>
              <w:t>15834</w:t>
            </w:r>
          </w:p>
        </w:tc>
      </w:tr>
      <w:tr>
        <w:trPr>
          <w:trHeight w:val="595"/>
        </w:trPr>
        <w:tc>
          <w:tcPr>
            <w:tcW w:w="22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专栏专题</w:t>
            </w:r>
          </w:p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（单位：个）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维护数量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 w:hint="eastAsia"/>
              </w:rPr>
              <w:t> 1</w:t>
            </w:r>
            <w:r>
              <w:rPr>
                <w:rFonts w:ascii="方正仿宋_GBK" w:eastAsia="方正仿宋_GBK" w:cs="方正仿宋_GBK"/>
              </w:rPr>
              <w:t>4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新开设数量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 w:hint="eastAsia"/>
              </w:rPr>
              <w:t> </w:t>
            </w:r>
            <w:r>
              <w:rPr>
                <w:rFonts w:ascii="方正仿宋_GBK" w:eastAsia="方正仿宋_GBK" w:cs="方正仿宋_GBK"/>
              </w:rPr>
              <w:t>2</w:t>
            </w:r>
          </w:p>
        </w:tc>
      </w:tr>
      <w:tr>
        <w:trPr>
          <w:trHeight w:val="595"/>
        </w:trPr>
        <w:tc>
          <w:tcPr>
            <w:tcW w:w="22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解读回应</w:t>
            </w:r>
          </w:p>
        </w:tc>
        <w:tc>
          <w:tcPr>
            <w:tcW w:w="27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解读信息发布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总数（单位：条）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/>
              </w:rPr>
              <w:t>128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解读材料数量（单位：条）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/>
              </w:rPr>
              <w:t>53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解读产品数量（单位：个）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/>
              </w:rPr>
              <w:t>63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 w:hint="eastAsia"/>
              </w:rPr>
              <w:t>媒体评论文章数量</w:t>
            </w:r>
          </w:p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 w:hint="eastAsia"/>
              </w:rPr>
              <w:t>（单位：篇）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ind w:leftChars="-27" w:left="7" w:hangingChars="27" w:hanging="64"/>
              <w:jc w:val="center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/>
              </w:rPr>
              <w:t>12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回应公众关注热点或</w:t>
            </w:r>
          </w:p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重大舆情数量（单位：次）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/>
              </w:rPr>
              <w:t>35</w:t>
            </w:r>
          </w:p>
        </w:tc>
      </w:tr>
      <w:tr>
        <w:trPr>
          <w:trHeight w:val="595"/>
        </w:trPr>
        <w:tc>
          <w:tcPr>
            <w:tcW w:w="22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办事服务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是否发布服务事项目录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MS Mincho" w:eastAsia="MS Mincho" w:cs="MS Mincho" w:hint="eastAsia"/>
                <w:color w:val="000000"/>
              </w:rPr>
              <w:t>☑</w:t>
            </w:r>
            <w:r>
              <w:rPr>
                <w:rFonts w:ascii="方正仿宋_GBK" w:eastAsia="方正仿宋_GBK" w:cs="方正仿宋_GBK" w:hint="eastAsia"/>
                <w:color w:val="000000"/>
              </w:rPr>
              <w:t>是　　　□否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注册用户数（单位：个）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 </w:t>
            </w:r>
            <w:r>
              <w:rPr>
                <w:rFonts w:ascii="方正仿宋_GBK" w:eastAsia="方正仿宋_GBK" w:cs="方正仿宋_GBK"/>
                <w:color w:val="000000"/>
              </w:rPr>
              <w:t>26373884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政务服务事项数量</w:t>
            </w:r>
          </w:p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（单位：项）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 w:hint="eastAsia"/>
              </w:rPr>
              <w:t> </w:t>
            </w:r>
            <w:r>
              <w:rPr>
                <w:rFonts w:ascii="方正仿宋_GBK" w:eastAsia="方正仿宋_GBK" w:cs="方正仿宋_GBK"/>
              </w:rPr>
              <w:t>1480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可全程在线办理政务服务事项数量（单位：项）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/>
              </w:rPr>
              <w:t>965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办件量</w:t>
            </w:r>
          </w:p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（单位：件）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 w:hint="eastAsia"/>
              </w:rPr>
              <w:t>总数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/>
              </w:rPr>
              <w:t>62103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 w:hint="eastAsia"/>
              </w:rPr>
              <w:t>自然人办件量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 w:hint="eastAsia"/>
              </w:rPr>
              <w:t> </w:t>
            </w:r>
            <w:r>
              <w:rPr>
                <w:rFonts w:ascii="方正仿宋_GBK" w:eastAsia="方正仿宋_GBK" w:cs="方正仿宋_GBK"/>
              </w:rPr>
              <w:t>52714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 w:hint="eastAsia"/>
              </w:rPr>
              <w:t>法人办件量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 w:hint="eastAsia"/>
              </w:rPr>
              <w:t> </w:t>
            </w:r>
            <w:r>
              <w:rPr>
                <w:rFonts w:ascii="方正仿宋_GBK" w:eastAsia="方正仿宋_GBK" w:cs="方正仿宋_GBK"/>
              </w:rPr>
              <w:t>9389</w:t>
            </w:r>
          </w:p>
        </w:tc>
      </w:tr>
      <w:tr>
        <w:trPr>
          <w:trHeight w:val="595"/>
        </w:trPr>
        <w:tc>
          <w:tcPr>
            <w:tcW w:w="22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互动交流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是否使用统一平台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MS Mincho" w:eastAsia="MS Mincho" w:cs="MS Mincho" w:hint="eastAsia"/>
                <w:color w:val="000000"/>
              </w:rPr>
              <w:t>☑</w:t>
            </w:r>
            <w:r>
              <w:rPr>
                <w:rFonts w:ascii="方正仿宋_GBK" w:eastAsia="方正仿宋_GBK" w:cs="方正仿宋_GBK" w:hint="eastAsia"/>
                <w:color w:val="000000"/>
              </w:rPr>
              <w:t>是　　　□否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留言办理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收到留言数量（单位：条）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lang w:val="en-US" w:eastAsia="zh-CN"/>
              </w:rPr>
            </w:pPr>
            <w:r>
              <w:rPr>
                <w:rFonts w:ascii="方正仿宋_GBK" w:eastAsia="方正仿宋_GBK" w:cs="方正仿宋_GBK" w:hint="eastAsia"/>
                <w:lang w:val="en-US" w:eastAsia="zh-CN"/>
              </w:rPr>
              <w:t>614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办结留言数量（单位：条）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lang w:val="en-US" w:eastAsia="zh-CN"/>
              </w:rPr>
            </w:pPr>
            <w:r>
              <w:rPr>
                <w:rFonts w:ascii="方正仿宋_GBK" w:eastAsia="方正仿宋_GBK" w:cs="方正仿宋_GBK" w:hint="eastAsia"/>
                <w:lang w:val="en-US" w:eastAsia="zh-CN"/>
              </w:rPr>
              <w:t>545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平均办理时间（单位：天）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 w:hint="eastAsia"/>
              </w:rPr>
              <w:t>5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公开答复数量（单位：条）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lang w:val="en-US" w:eastAsia="zh-CN"/>
              </w:rPr>
            </w:pPr>
            <w:r>
              <w:rPr>
                <w:rFonts w:ascii="方正仿宋_GBK" w:eastAsia="方正仿宋_GBK" w:cs="方正仿宋_GBK" w:hint="eastAsia"/>
                <w:lang w:val="en-US" w:eastAsia="zh-CN"/>
              </w:rPr>
              <w:t>29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征集调查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征集调查期数（单位：期）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/>
              </w:rPr>
              <w:t>54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收到意见数量（单位：</w:t>
            </w:r>
            <w:r>
              <w:rPr>
                <w:rFonts w:ascii="方正仿宋_GBK" w:eastAsia="方正仿宋_GBK" w:cs="方正仿宋_GBK" w:hint="eastAsia"/>
              </w:rPr>
              <w:t>条</w:t>
            </w:r>
            <w:r>
              <w:rPr>
                <w:rFonts w:ascii="方正仿宋_GBK" w:eastAsia="方正仿宋_GBK" w:cs="方正仿宋_GBK" w:hint="eastAsia"/>
                <w:color w:val="000000"/>
              </w:rPr>
              <w:t>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/>
              </w:rPr>
              <w:t>173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公布调查结果期数</w:t>
            </w:r>
          </w:p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（单位：期）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/>
              </w:rPr>
              <w:t>54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在线访谈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访谈期数（单位：期）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/>
              </w:rPr>
              <w:t>1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网民留言数量（单位：条）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 w:hint="eastAsia"/>
              </w:rPr>
              <w:t>0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答复网民提问数量</w:t>
            </w:r>
          </w:p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（单位：条）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 w:hint="eastAsia"/>
              </w:rPr>
              <w:t>0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是否提供智能问答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□是　　　</w:t>
            </w:r>
            <w:r>
              <w:rPr>
                <w:rFonts w:ascii="MS Mincho" w:eastAsia="MS Mincho" w:cs="MS Mincho" w:hint="eastAsia"/>
                <w:color w:val="000000"/>
              </w:rPr>
              <w:t>☑</w:t>
            </w:r>
            <w:r>
              <w:rPr>
                <w:rFonts w:ascii="方正仿宋_GBK" w:eastAsia="方正仿宋_GBK" w:cs="方正仿宋_GBK" w:hint="eastAsia"/>
                <w:color w:val="000000"/>
              </w:rPr>
              <w:t>否</w:t>
            </w:r>
          </w:p>
        </w:tc>
      </w:tr>
      <w:tr>
        <w:trPr>
          <w:trHeight w:val="595"/>
        </w:trPr>
        <w:tc>
          <w:tcPr>
            <w:tcW w:w="22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安全防护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安全检测评估次数</w:t>
            </w:r>
          </w:p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（单位：次）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 16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发现问题数量（单位：个）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5</w:t>
            </w:r>
            <w:r>
              <w:rPr>
                <w:rFonts w:ascii="方正仿宋_GBK" w:eastAsia="方正仿宋_GBK" w:cs="方正仿宋_GBK"/>
                <w:color w:val="000000"/>
              </w:rPr>
              <w:t>7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问题整改数量（单位：个）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5</w:t>
            </w:r>
            <w:r>
              <w:rPr>
                <w:rFonts w:ascii="方正仿宋_GBK" w:eastAsia="方正仿宋_GBK" w:cs="方正仿宋_GBK"/>
                <w:color w:val="000000"/>
              </w:rPr>
              <w:t>7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是否建立安全监测预警机制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MS Mincho" w:eastAsia="MS Mincho" w:cs="MS Mincho" w:hint="eastAsia"/>
                <w:color w:val="000000"/>
              </w:rPr>
              <w:t>☑</w:t>
            </w:r>
            <w:r>
              <w:rPr>
                <w:rFonts w:ascii="方正仿宋_GBK" w:eastAsia="方正仿宋_GBK" w:cs="方正仿宋_GBK" w:hint="eastAsia"/>
                <w:color w:val="000000"/>
              </w:rPr>
              <w:t>是　　　□否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是否开展应急演练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MS Mincho" w:eastAsia="MS Mincho" w:cs="MS Mincho" w:hint="eastAsia"/>
                <w:color w:val="000000"/>
              </w:rPr>
              <w:t>☑</w:t>
            </w:r>
            <w:r>
              <w:rPr>
                <w:rFonts w:ascii="方正仿宋_GBK" w:eastAsia="方正仿宋_GBK" w:cs="方正仿宋_GBK" w:hint="eastAsia"/>
                <w:color w:val="000000"/>
              </w:rPr>
              <w:t>是　　　□否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是否明确网站安全</w:t>
            </w:r>
          </w:p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责任人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MS Mincho" w:eastAsia="MS Mincho" w:cs="MS Mincho" w:hint="eastAsia"/>
                <w:color w:val="000000"/>
              </w:rPr>
              <w:t>☑</w:t>
            </w:r>
            <w:r>
              <w:rPr>
                <w:rFonts w:ascii="方正仿宋_GBK" w:eastAsia="方正仿宋_GBK" w:cs="方正仿宋_GBK" w:hint="eastAsia"/>
                <w:color w:val="000000"/>
              </w:rPr>
              <w:t>是　　　□否</w:t>
            </w:r>
          </w:p>
        </w:tc>
      </w:tr>
      <w:tr>
        <w:trPr>
          <w:trHeight w:val="595"/>
        </w:trPr>
        <w:tc>
          <w:tcPr>
            <w:tcW w:w="22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移动新媒体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是否有移动新媒体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MS Mincho" w:eastAsia="MS Mincho" w:cs="MS Mincho" w:hint="eastAsia"/>
                <w:color w:val="000000"/>
              </w:rPr>
              <w:t>☑</w:t>
            </w:r>
            <w:r>
              <w:rPr>
                <w:rFonts w:ascii="方正仿宋_GBK" w:eastAsia="方正仿宋_GBK" w:cs="方正仿宋_GBK" w:hint="eastAsia"/>
                <w:color w:val="000000"/>
              </w:rPr>
              <w:t>是　　　□否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微博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名称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 无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信息发布量（单位：条）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 </w:t>
            </w:r>
            <w:r>
              <w:rPr>
                <w:rFonts w:ascii="方正仿宋_GBK" w:eastAsia="方正仿宋_GBK" w:cs="方正仿宋_GBK"/>
                <w:color w:val="000000"/>
              </w:rPr>
              <w:t>无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关注量（单位：个）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 </w:t>
            </w:r>
            <w:r>
              <w:rPr>
                <w:rFonts w:ascii="方正仿宋_GBK" w:eastAsia="方正仿宋_GBK" w:cs="方正仿宋_GBK"/>
                <w:color w:val="000000"/>
              </w:rPr>
              <w:t>无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微信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名称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重庆市涪陵区人民政府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信息发布量（单位：条）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 w:hint="eastAsia"/>
              </w:rPr>
              <w:t> </w:t>
            </w:r>
            <w:r>
              <w:rPr>
                <w:rFonts w:ascii="方正仿宋_GBK" w:eastAsia="方正仿宋_GBK" w:cs="方正仿宋_GBK"/>
              </w:rPr>
              <w:t>2242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订阅数（单位：个）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/>
              </w:rPr>
              <w:t>7170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</w:rPr>
              <w:t>移动客户端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名称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无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vMerge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信息发布量（单位：条）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/>
                <w:color w:val="000000"/>
              </w:rPr>
              <w:t>无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下载量（单位：个）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/>
                <w:color w:val="000000"/>
              </w:rPr>
              <w:t>无</w:t>
            </w:r>
            <w:bookmarkStart w:id="0" w:name="_GoBack"/>
            <w:bookmarkEnd w:id="0"/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其他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无 </w:t>
            </w:r>
          </w:p>
        </w:tc>
      </w:tr>
      <w:tr>
        <w:trPr>
          <w:trHeight w:val="1339"/>
        </w:trPr>
        <w:tc>
          <w:tcPr>
            <w:tcW w:w="2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创新发展</w:t>
            </w:r>
          </w:p>
        </w:tc>
        <w:tc>
          <w:tcPr>
            <w:tcW w:w="76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widowControl/>
              <w:spacing w:before="0" w:beforeAutospacing="0" w:after="0" w:afterAutospacing="0" w:line="300" w:lineRule="exact"/>
              <w:jc w:val="both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MS Mincho" w:eastAsia="MS Mincho" w:cs="MS Mincho" w:hint="eastAsia"/>
                <w:color w:val="000000"/>
              </w:rPr>
              <w:t>☑</w:t>
            </w:r>
            <w:r>
              <w:rPr>
                <w:rFonts w:ascii="方正仿宋_GBK" w:eastAsia="方正仿宋_GBK" w:cs="方正仿宋_GBK" w:hint="eastAsia"/>
                <w:color w:val="000000"/>
              </w:rPr>
              <w:t>搜索即服务　　　□多语言版本　　　</w:t>
            </w:r>
            <w:r>
              <w:rPr>
                <w:rFonts w:ascii="MS Mincho" w:eastAsia="MS Mincho" w:cs="MS Mincho" w:hint="eastAsia"/>
                <w:color w:val="000000"/>
              </w:rPr>
              <w:t>☑</w:t>
            </w:r>
            <w:r>
              <w:rPr>
                <w:rFonts w:ascii="方正仿宋_GBK" w:eastAsia="方正仿宋_GBK" w:cs="方正仿宋_GBK" w:hint="eastAsia"/>
                <w:color w:val="000000"/>
              </w:rPr>
              <w:t>无障碍浏览　　□千人千网</w:t>
            </w:r>
          </w:p>
          <w:p>
            <w:pPr>
              <w:pStyle w:val="18"/>
              <w:widowControl/>
              <w:spacing w:before="0" w:beforeAutospacing="0" w:after="0" w:afterAutospacing="0" w:line="300" w:lineRule="exact"/>
              <w:rPr>
                <w:rFonts w:ascii="方正仿宋_GBK" w:eastAsia="方正仿宋_GBK" w:cs="方正仿宋_GBK" w:hint="eastAsia"/>
                <w:color w:val="000000"/>
              </w:rPr>
            </w:pPr>
          </w:p>
          <w:p>
            <w:pPr>
              <w:pStyle w:val="18"/>
              <w:widowControl/>
              <w:spacing w:before="0" w:beforeAutospacing="0" w:after="0" w:afterAutospacing="0" w:line="300" w:lineRule="exact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□其他__________________________________</w:t>
            </w:r>
          </w:p>
        </w:tc>
      </w:tr>
    </w:tbl>
    <w:p>
      <w:pPr>
        <w:pStyle w:val="18"/>
        <w:widowControl/>
        <w:shd w:val="clear" w:color="auto" w:fill="FFFFFF"/>
        <w:spacing w:before="0" w:beforeAutospacing="0" w:after="0" w:afterAutospacing="0" w:line="300" w:lineRule="exact"/>
        <w:jc w:val="both"/>
        <w:rPr>
          <w:rFonts w:ascii="方正楷体_GBK" w:eastAsia="方正楷体_GBK" w:cs="方正楷体_GBK" w:hint="eastAsia"/>
          <w:color w:val="000000"/>
          <w:sz w:val="21"/>
          <w:szCs w:val="21"/>
          <w:shd w:val="clear" w:color="auto" w:fill="FFFFFF"/>
        </w:rPr>
      </w:pPr>
    </w:p>
    <w:p>
      <w:pPr>
        <w:pStyle w:val="18"/>
        <w:widowControl/>
        <w:shd w:val="clear" w:color="auto" w:fill="FFFFFF"/>
        <w:spacing w:before="0" w:beforeAutospacing="0" w:after="0" w:afterAutospacing="0" w:line="300" w:lineRule="exact"/>
        <w:jc w:val="both"/>
        <w:rPr>
          <w:rFonts w:ascii="方正楷体_GBK" w:eastAsia="方正楷体_GBK" w:cs="方正楷体_GBK"/>
          <w:color w:val="000000"/>
          <w:sz w:val="21"/>
          <w:szCs w:val="21"/>
          <w:shd w:val="clear" w:color="auto" w:fill="FFFFFF"/>
        </w:rPr>
      </w:pPr>
      <w:r>
        <w:rPr>
          <w:rFonts w:ascii="方正楷体_GBK" w:eastAsia="方正楷体_GBK" w:cs="方正楷体_GBK" w:hint="eastAsia"/>
          <w:color w:val="000000"/>
          <w:sz w:val="21"/>
          <w:szCs w:val="21"/>
          <w:shd w:val="clear" w:color="auto" w:fill="FFFFFF"/>
        </w:rPr>
        <w:t>单位负责人：何伟            </w:t>
      </w:r>
    </w:p>
    <w:p>
      <w:pPr>
        <w:pStyle w:val="18"/>
        <w:widowControl/>
        <w:shd w:val="clear" w:color="auto" w:fill="FFFFFF"/>
        <w:spacing w:before="0" w:beforeAutospacing="0" w:after="0" w:afterAutospacing="0" w:line="300" w:lineRule="exact"/>
        <w:jc w:val="both"/>
        <w:rPr>
          <w:rFonts w:ascii="方正楷体_GBK" w:eastAsia="方正楷体_GBK" w:cs="方正楷体_GBK"/>
          <w:color w:val="000000"/>
          <w:sz w:val="21"/>
          <w:szCs w:val="21"/>
          <w:shd w:val="clear" w:color="auto" w:fill="FFFFFF"/>
        </w:rPr>
      </w:pPr>
      <w:r>
        <w:rPr>
          <w:rFonts w:ascii="方正楷体_GBK" w:eastAsia="方正楷体_GBK" w:cs="方正楷体_GBK" w:hint="eastAsia"/>
          <w:color w:val="000000"/>
          <w:sz w:val="21"/>
          <w:szCs w:val="21"/>
          <w:shd w:val="clear" w:color="auto" w:fill="FFFFFF"/>
        </w:rPr>
        <w:t>审核人：龚</w:t>
      </w:r>
      <w:r>
        <w:rPr>
          <w:rFonts w:ascii="方正楷体_GBK" w:eastAsia="方正楷体_GBK" w:cs="方正楷体_GBK"/>
          <w:color w:val="000000"/>
          <w:sz w:val="21"/>
          <w:szCs w:val="21"/>
          <w:shd w:val="clear" w:color="auto" w:fill="FFFFFF"/>
        </w:rPr>
        <w:t>忠</w:t>
      </w:r>
      <w:r>
        <w:rPr>
          <w:rFonts w:ascii="方正楷体_GBK" w:eastAsia="方正楷体_GBK" w:cs="方正楷体_GBK" w:hint="eastAsia"/>
          <w:color w:val="000000"/>
          <w:sz w:val="21"/>
          <w:szCs w:val="21"/>
          <w:shd w:val="clear" w:color="auto" w:fill="FFFFFF"/>
        </w:rPr>
        <w:t>旺                    </w:t>
      </w:r>
    </w:p>
    <w:p>
      <w:pPr>
        <w:pStyle w:val="18"/>
        <w:widowControl/>
        <w:shd w:val="clear" w:color="auto" w:fill="FFFFFF"/>
        <w:spacing w:before="0" w:beforeAutospacing="0" w:after="0" w:afterAutospacing="0" w:line="300" w:lineRule="exact"/>
        <w:jc w:val="both"/>
        <w:rPr>
          <w:rFonts w:ascii="方正楷体_GBK" w:eastAsia="方正楷体_GBK" w:cs="方正楷体_GBK"/>
          <w:color w:val="000000"/>
          <w:sz w:val="21"/>
          <w:szCs w:val="21"/>
          <w:shd w:val="clear" w:color="auto" w:fill="FFFFFF"/>
        </w:rPr>
      </w:pPr>
      <w:r>
        <w:rPr>
          <w:rFonts w:ascii="方正楷体_GBK" w:eastAsia="方正楷体_GBK" w:cs="方正楷体_GBK" w:hint="eastAsia"/>
          <w:color w:val="000000"/>
          <w:sz w:val="21"/>
          <w:szCs w:val="21"/>
          <w:shd w:val="clear" w:color="auto" w:fill="FFFFFF"/>
        </w:rPr>
        <w:t>填报人：熊志宏</w:t>
      </w:r>
    </w:p>
    <w:p>
      <w:pPr>
        <w:pStyle w:val="18"/>
        <w:widowControl/>
        <w:shd w:val="clear" w:color="auto" w:fill="FFFFFF"/>
        <w:spacing w:before="0" w:beforeAutospacing="0" w:after="0" w:afterAutospacing="0" w:line="300" w:lineRule="exact"/>
        <w:jc w:val="both"/>
        <w:rPr>
          <w:rFonts w:ascii="方正楷体_GBK" w:eastAsia="方正楷体_GBK" w:cs="方正楷体_GBK"/>
          <w:color w:val="000000"/>
          <w:sz w:val="21"/>
          <w:szCs w:val="21"/>
          <w:shd w:val="clear" w:color="auto" w:fill="FFFFFF"/>
        </w:rPr>
      </w:pPr>
      <w:r>
        <w:rPr>
          <w:rFonts w:ascii="方正楷体_GBK" w:eastAsia="方正楷体_GBK" w:cs="方正楷体_GBK" w:hint="eastAsia"/>
          <w:color w:val="000000"/>
          <w:sz w:val="21"/>
          <w:szCs w:val="21"/>
          <w:shd w:val="clear" w:color="auto" w:fill="FFFFFF"/>
        </w:rPr>
        <w:t>联系电话： 72288301            </w:t>
      </w:r>
    </w:p>
    <w:p>
      <w:pPr>
        <w:pStyle w:val="18"/>
        <w:widowControl/>
        <w:shd w:val="clear" w:color="auto" w:fill="FFFFFF"/>
        <w:spacing w:before="0" w:beforeAutospacing="0" w:after="0" w:afterAutospacing="0" w:line="300" w:lineRule="exact"/>
        <w:jc w:val="both"/>
        <w:rPr>
          <w:rFonts w:ascii="宋体" w:cs="宋体"/>
          <w:color w:val="000000"/>
        </w:rPr>
      </w:pPr>
      <w:r>
        <w:rPr>
          <w:rFonts w:ascii="方正楷体_GBK" w:eastAsia="方正楷体_GBK" w:cs="方正楷体_GBK" w:hint="eastAsia"/>
          <w:color w:val="000000"/>
          <w:sz w:val="21"/>
          <w:szCs w:val="21"/>
          <w:shd w:val="clear" w:color="auto" w:fill="FFFFFF"/>
        </w:rPr>
        <w:t>填报日期：2023年1月1</w:t>
      </w:r>
      <w:r>
        <w:rPr>
          <w:rFonts w:ascii="方正楷体_GBK" w:eastAsia="方正楷体_GBK" w:cs="方正楷体_GBK"/>
          <w:color w:val="000000"/>
          <w:sz w:val="21"/>
          <w:szCs w:val="21"/>
          <w:shd w:val="clear" w:color="auto" w:fill="FFFFFF"/>
        </w:rPr>
        <w:t>8</w:t>
      </w:r>
      <w:r>
        <w:rPr>
          <w:rFonts w:ascii="方正楷体_GBK" w:eastAsia="方正楷体_GBK" w:cs="方正楷体_GBK" w:hint="eastAsia"/>
          <w:color w:val="000000"/>
          <w:sz w:val="21"/>
          <w:szCs w:val="21"/>
          <w:shd w:val="clear" w:color="auto" w:fill="FFFFFF"/>
        </w:rPr>
        <w:t>日</w:t>
      </w:r>
    </w:p>
    <w:p>
      <w:pPr>
        <w:pStyle w:val="18"/>
        <w:widowControl/>
        <w:shd w:val="clear" w:color="auto" w:fill="FFFFFF"/>
        <w:spacing w:before="0" w:beforeAutospacing="0" w:after="0" w:afterAutospacing="0"/>
        <w:jc w:val="both"/>
        <w:rPr>
          <w:rFonts w:ascii="宋体" w:cs="宋体"/>
          <w:b/>
          <w:color w:val="000000"/>
          <w:shd w:val="clear" w:color="auto" w:fill="FFFFFF"/>
        </w:rPr>
      </w:pPr>
    </w:p>
    <w:sectPr>
      <w:footerReference w:type="default" r:id="rId2"/>
      <w:pgSz w:w="11906" w:h="16838"/>
      <w:pgMar w:top="1440" w:right="1803" w:bottom="1440" w:left="1803" w:header="851" w:footer="992" w:gutter="0"/>
      <w:pgNumType w:fmt="numberInDash"/>
      <w:docGrid w:type="lines" w:linePitch="31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方正黑体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MS Mincho">
    <w:altName w:val="Yu Gothic UI"/>
    <w:panose1 w:val="02020609040205080304"/>
    <w:charset w:val="80"/>
    <w:family w:val="modern"/>
    <w:pitch w:val="variable"/>
    <w:sig w:usb0="00000000" w:usb1="00000000" w:usb2="00000012" w:usb3="00000000" w:csb0="0002009F" w:csb1="00000000"/>
  </w:font>
  <w:font w:name="方正楷体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200001FF" w:csb1="00000000"/>
  </w:font>
  <w:font w:name="方正书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tabs>
        <w:tab w:val="center" w:pos="4153"/>
        <w:tab w:val="right" w:pos="8306"/>
      </w:tabs>
    </w:pPr>
    <w:r>
      <mc:AlternateContent>
        <mc:Choice Requires="wps">
          <w:drawing>
            <wp:anchor distT="0" distB="0" distL="114298" distR="114298" simplePos="0" relativeHeight="10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9400" cy="217170"/>
              <wp:effectExtent l="0" t="0" r="0" b="0"/>
              <wp:wrapNone/>
              <wp:docPr id="1" name="矩形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279400" cy="217170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2"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type="#_x0000_t1" id="矩形 3" o:spid="_x0000_s3" filled="f" stroked="f" style="position:absolute;margin-left:0.0pt;margin-top:0.0pt;width:22.0pt;height:17.1pt;z-index:10;mso-position-horizontal:center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 w:val="0"/>
  <w:bordersDoNotSurroundFooter w:val="0"/>
  <w:defaultTabStop w:val="420"/>
  <w:drawingGridHorizontalSpacing w:val="105"/>
  <w:drawingGridVerticalSpacing w:val="159"/>
  <w:displayHorizontalDrawingGridEvery w:val="1"/>
  <w:displayVerticalDrawingGridEvery w:val="1"/>
  <w:noPunctuationKerning/>
  <w:characterSpacingControl w:val="compressPunctuation"/>
  <w:compat>
    <w:spaceForUL/>
    <w:balanceSingleByteDoubleByteWidth/>
    <w:doNotExpandShiftReturn/>
    <w:adjustLineHeightInTable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autoRedefine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Balloon Text"/>
    <w:basedOn w:val="0"/>
    <w:rPr>
      <w:sz w:val="18"/>
      <w:szCs w:val="18"/>
    </w:rPr>
  </w:style>
  <w:style w:type="paragraph" w:styleId="16">
    <w:name w:val="footer"/>
    <w:basedOn w:val="0"/>
    <w:autoRedefine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7">
    <w:name w:val="header"/>
    <w:basedOn w:val="0"/>
    <w:autoRedefine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8">
    <w:name w:val="Normal (Web)"/>
    <w:basedOn w:val="0"/>
    <w:autoRedefine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9">
    <w:name w:val="font21"/>
    <w:basedOn w:val="10"/>
    <w:rPr>
      <w:rFonts w:ascii="方正书宋_GBK" w:eastAsia="方正书宋_GBK" w:cs="方正书宋_GBK"/>
      <w:color w:val="000000"/>
      <w:sz w:val="24"/>
      <w:szCs w:val="24"/>
      <w:u w:val="none"/>
    </w:rPr>
  </w:style>
  <w:style w:type="character" w:customStyle="1" w:styleId="20">
    <w:name w:val="font11"/>
    <w:basedOn w:val="10"/>
    <w:autoRedefine/>
    <w:rPr>
      <w:rFonts w:ascii="Times New Roman" w:cs="Times New Roman" w:hAnsi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298</TotalTime>
  <Application>Yozo_Office</Application>
  <Pages>3</Pages>
  <Words>829</Words>
  <Characters>1002</Characters>
  <Lines>158</Lines>
  <Paragraphs>149</Paragraphs>
  <CharactersWithSpaces>1102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重庆市人民政府办公厅关于做好</dc:title>
  <dc:creator>dzb</dc:creator>
  <cp:lastModifiedBy>Microsoft</cp:lastModifiedBy>
  <cp:revision>0</cp:revision>
  <cp:lastPrinted>2023-01-16T14:51:00Z</cp:lastPrinted>
  <dcterms:created xsi:type="dcterms:W3CDTF">2023-01-31T12:34:00Z</dcterms:created>
  <dcterms:modified xsi:type="dcterms:W3CDTF">2024-01-30T03:28:05Z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2052-12.1.0.16120</vt:lpwstr>
  </property>
  <property fmtid="{D5CDD505-2E9C-101B-9397-08002B2CF9AE}" pid="3" name="ICV">
    <vt:lpwstr>7C66DD1F0C224B04A3792C556CB22B3A_12</vt:lpwstr>
  </property>
</Properties>
</file>