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2022年度涪陵区工业综合十强企业建议名单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5"/>
        <w:textAlignment w:val="auto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重庆中烟工业有限责任公司涪陵卷烟厂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重庆万达薄板有限公司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中石化重庆涪陵页岩气勘探开发有限公司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重庆华峰化工有限公司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重庆万凯新材料科技有限公司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重庆涪陵能源实业集团有限公司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华峰铝业有限公司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华晨鑫源重庆汽车有限公司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重庆建峰新材料有限责任公司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重庆市涪陵榨菜集团股份有限公司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2022年度涪陵区工业成长型十强企业建议名单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5"/>
        <w:textAlignment w:val="auto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华通电脑（重庆）有限公司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重庆万丰奥威铝轮有限公司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重庆天原化工有限公司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重庆大朗冶金新材料有限公司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重庆三爱海陵实业有限责任公司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华兰生物工程重庆有限公司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重庆南瑞博瑞变压器有限公司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重庆国丰实业有限公司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重庆四合燃气有限公司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ascii="方正仿宋_GBK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z w:val="32"/>
                <w:szCs w:val="32"/>
              </w:rPr>
              <w:t>中粮油脂（重庆）有限公司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2Q4ZDZjODkwNDdhNjZlYTM5M2Q3MTE5ODgyNWEifQ=="/>
  </w:docVars>
  <w:rsids>
    <w:rsidRoot w:val="6AF5499F"/>
    <w:rsid w:val="01720CBE"/>
    <w:rsid w:val="0D325C40"/>
    <w:rsid w:val="40420B44"/>
    <w:rsid w:val="42D068DB"/>
    <w:rsid w:val="656E7B61"/>
    <w:rsid w:val="668D2269"/>
    <w:rsid w:val="6AF5499F"/>
    <w:rsid w:val="781A2D86"/>
    <w:rsid w:val="7C8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716</Characters>
  <Lines>0</Lines>
  <Paragraphs>0</Paragraphs>
  <TotalTime>4</TotalTime>
  <ScaleCrop>false</ScaleCrop>
  <LinksUpToDate>false</LinksUpToDate>
  <CharactersWithSpaces>716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2023-06-12T03:13:00Z</dcterms:created>
  <dc:creator>没有名字</dc:creator>
  <cp:lastModifiedBy>user</cp:lastModifiedBy>
  <cp:lastPrinted>2023-06-12T06:53:00Z</cp:lastPrinted>
  <dcterms:modified xsi:type="dcterms:W3CDTF">2023-06-12T08:36:14Z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A5CDB97FB09F4DE3B6CC682534606A30_13</vt:lpwstr>
  </property>
</Properties>
</file>